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B3" w:rsidRDefault="00D922B3" w:rsidP="00D922B3">
      <w:pPr>
        <w:jc w:val="center"/>
        <w:rPr>
          <w:b/>
          <w:sz w:val="28"/>
          <w:szCs w:val="28"/>
        </w:rPr>
      </w:pPr>
      <w:proofErr w:type="gramStart"/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муниципальной  программы «Комплексные меры противодействия злоупотреблению наркотиками и их незаконному обороту в городе Рубцовске» на 2014 - 2017 годы </w:t>
      </w:r>
      <w:proofErr w:type="gramEnd"/>
    </w:p>
    <w:p w:rsidR="00D922B3" w:rsidRPr="00DE47C1" w:rsidRDefault="00D922B3" w:rsidP="00D922B3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за 201</w:t>
      </w:r>
      <w:r w:rsidR="007E38E2">
        <w:rPr>
          <w:b/>
          <w:sz w:val="28"/>
          <w:szCs w:val="28"/>
        </w:rPr>
        <w:t>6</w:t>
      </w:r>
      <w:r w:rsidRPr="00DE47C1">
        <w:rPr>
          <w:b/>
          <w:sz w:val="28"/>
          <w:szCs w:val="28"/>
        </w:rPr>
        <w:t xml:space="preserve"> год</w:t>
      </w:r>
    </w:p>
    <w:p w:rsidR="00D922B3" w:rsidRDefault="00D922B3" w:rsidP="00D922B3">
      <w:pPr>
        <w:jc w:val="center"/>
        <w:rPr>
          <w:bCs/>
          <w:sz w:val="28"/>
          <w:szCs w:val="28"/>
        </w:rPr>
      </w:pPr>
    </w:p>
    <w:p w:rsidR="00D922B3" w:rsidRPr="00920FC9" w:rsidRDefault="00D922B3" w:rsidP="00D922B3">
      <w:pPr>
        <w:ind w:firstLine="708"/>
        <w:jc w:val="both"/>
        <w:rPr>
          <w:sz w:val="28"/>
          <w:szCs w:val="28"/>
        </w:rPr>
      </w:pPr>
      <w:r w:rsidRPr="00920FC9">
        <w:rPr>
          <w:bCs/>
          <w:sz w:val="28"/>
          <w:szCs w:val="28"/>
        </w:rPr>
        <w:t xml:space="preserve">Муниципальная программа </w:t>
      </w:r>
      <w:r w:rsidRPr="00D0602E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городе Рубцовске» на 2014 - 2017 годы </w:t>
      </w:r>
      <w:r w:rsidRPr="00920FC9">
        <w:rPr>
          <w:sz w:val="28"/>
          <w:szCs w:val="28"/>
        </w:rPr>
        <w:t xml:space="preserve">(далее по тексту – Программа) утверждена постановлением </w:t>
      </w:r>
      <w:proofErr w:type="gramStart"/>
      <w:r w:rsidRPr="00920FC9">
        <w:rPr>
          <w:sz w:val="28"/>
          <w:szCs w:val="28"/>
        </w:rPr>
        <w:t>Администрации города Рубцовска Алтайского края</w:t>
      </w:r>
      <w:proofErr w:type="gramEnd"/>
      <w:r w:rsidRPr="00920FC9">
        <w:rPr>
          <w:sz w:val="28"/>
          <w:szCs w:val="28"/>
        </w:rPr>
        <w:t xml:space="preserve"> от </w:t>
      </w:r>
      <w:r w:rsidRPr="00EE71D9">
        <w:rPr>
          <w:sz w:val="28"/>
          <w:szCs w:val="28"/>
        </w:rPr>
        <w:t xml:space="preserve"> 10.09.2013 № 4512</w:t>
      </w:r>
      <w:r w:rsidRPr="00920FC9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создания</w:t>
      </w:r>
      <w:r w:rsidRPr="009A7E54">
        <w:rPr>
          <w:sz w:val="28"/>
          <w:szCs w:val="28"/>
        </w:rPr>
        <w:t xml:space="preserve"> эффективной системы профилактики немедицинского потребления наркотиков </w:t>
      </w:r>
      <w:r w:rsidRPr="009A7E54">
        <w:rPr>
          <w:sz w:val="28"/>
          <w:szCs w:val="28"/>
          <w:lang w:eastAsia="en-US"/>
        </w:rPr>
        <w:t>на территории города Рубцовска</w:t>
      </w:r>
      <w:r w:rsidRPr="009A7E54">
        <w:rPr>
          <w:sz w:val="28"/>
          <w:szCs w:val="28"/>
        </w:rPr>
        <w:t>.</w:t>
      </w:r>
    </w:p>
    <w:p w:rsidR="00D922B3" w:rsidRDefault="00D922B3" w:rsidP="00D92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постановления Администрации город</w:t>
      </w:r>
      <w:r w:rsidR="00F62764">
        <w:rPr>
          <w:sz w:val="28"/>
          <w:szCs w:val="28"/>
        </w:rPr>
        <w:t>а Рубцовска Алтайского края от 20</w:t>
      </w:r>
      <w:r>
        <w:rPr>
          <w:sz w:val="28"/>
          <w:szCs w:val="28"/>
        </w:rPr>
        <w:t>.02.201</w:t>
      </w:r>
      <w:r w:rsidR="00F6276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F62764">
        <w:rPr>
          <w:sz w:val="28"/>
          <w:szCs w:val="28"/>
        </w:rPr>
        <w:t>840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Pr="00EA27E0">
        <w:rPr>
          <w:sz w:val="28"/>
          <w:szCs w:val="28"/>
        </w:rPr>
        <w:t>города Рубцовска Алтайского края от</w:t>
      </w:r>
      <w:r>
        <w:rPr>
          <w:sz w:val="28"/>
          <w:szCs w:val="28"/>
        </w:rPr>
        <w:t xml:space="preserve"> 10.09.2013  № 4512 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на 2014-2017 годы» в Программу были внесены изменения, касающиеся объемов финансовых ресурсов, необходимых для реализации Программы.</w:t>
      </w:r>
      <w:proofErr w:type="gramEnd"/>
    </w:p>
    <w:p w:rsidR="00D922B3" w:rsidRDefault="006D34D0" w:rsidP="00D922B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D922B3" w:rsidRPr="00920FC9">
        <w:rPr>
          <w:sz w:val="28"/>
          <w:szCs w:val="28"/>
        </w:rPr>
        <w:t xml:space="preserve"> году из средств бюджета города на реализацию мероприяти</w:t>
      </w:r>
      <w:r w:rsidR="00D922B3">
        <w:rPr>
          <w:sz w:val="28"/>
          <w:szCs w:val="28"/>
        </w:rPr>
        <w:t xml:space="preserve">й Программы было </w:t>
      </w:r>
      <w:r w:rsidR="00D922B3" w:rsidRPr="006D34D0">
        <w:rPr>
          <w:sz w:val="28"/>
          <w:szCs w:val="28"/>
        </w:rPr>
        <w:t xml:space="preserve">запланировано </w:t>
      </w:r>
      <w:r w:rsidRPr="006D34D0">
        <w:rPr>
          <w:sz w:val="28"/>
          <w:szCs w:val="28"/>
        </w:rPr>
        <w:t>246,4</w:t>
      </w:r>
      <w:r w:rsidR="00D922B3" w:rsidRPr="006D34D0">
        <w:rPr>
          <w:sz w:val="28"/>
          <w:szCs w:val="28"/>
        </w:rPr>
        <w:t xml:space="preserve"> тыс</w:t>
      </w:r>
      <w:r w:rsidR="00D922B3" w:rsidRPr="00920FC9">
        <w:rPr>
          <w:sz w:val="28"/>
          <w:szCs w:val="28"/>
        </w:rPr>
        <w:t xml:space="preserve">. руб., фактически на программные мероприятия за указанный период </w:t>
      </w:r>
      <w:r w:rsidR="00D922B3" w:rsidRPr="006D34D0">
        <w:rPr>
          <w:sz w:val="28"/>
          <w:szCs w:val="28"/>
        </w:rPr>
        <w:t xml:space="preserve">израсходовано </w:t>
      </w:r>
      <w:r w:rsidRPr="006D34D0">
        <w:rPr>
          <w:sz w:val="28"/>
          <w:szCs w:val="28"/>
        </w:rPr>
        <w:t>203,5</w:t>
      </w:r>
      <w:r w:rsidR="00D922B3" w:rsidRPr="006D34D0">
        <w:rPr>
          <w:sz w:val="28"/>
          <w:szCs w:val="28"/>
        </w:rPr>
        <w:t xml:space="preserve"> тыс</w:t>
      </w:r>
      <w:r w:rsidR="00D922B3" w:rsidRPr="00920FC9">
        <w:rPr>
          <w:sz w:val="28"/>
          <w:szCs w:val="28"/>
        </w:rPr>
        <w:t>. руб. из средств бюджета города.</w:t>
      </w:r>
      <w:r w:rsidR="00D922B3">
        <w:rPr>
          <w:sz w:val="28"/>
          <w:szCs w:val="28"/>
        </w:rPr>
        <w:t xml:space="preserve"> Финансирование мероприятий Программы                        составило </w:t>
      </w:r>
      <w:r w:rsidR="00F62764">
        <w:rPr>
          <w:sz w:val="28"/>
          <w:szCs w:val="28"/>
        </w:rPr>
        <w:t>82</w:t>
      </w:r>
      <w:r w:rsidR="00D922B3">
        <w:rPr>
          <w:sz w:val="28"/>
          <w:szCs w:val="28"/>
        </w:rPr>
        <w:t>,</w:t>
      </w:r>
      <w:r w:rsidR="005A7F01">
        <w:rPr>
          <w:sz w:val="28"/>
          <w:szCs w:val="28"/>
        </w:rPr>
        <w:t>6</w:t>
      </w:r>
      <w:r w:rsidR="00D922B3">
        <w:rPr>
          <w:sz w:val="28"/>
          <w:szCs w:val="28"/>
        </w:rPr>
        <w:t xml:space="preserve"> %.</w:t>
      </w:r>
    </w:p>
    <w:p w:rsidR="00D922B3" w:rsidRPr="00920FC9" w:rsidRDefault="00D922B3" w:rsidP="00D922B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специалистами МКУ «Управление культуры, спорта и молодежной политики» </w:t>
      </w:r>
      <w:proofErr w:type="gramStart"/>
      <w:r w:rsidRPr="00920FC9">
        <w:rPr>
          <w:sz w:val="28"/>
          <w:szCs w:val="28"/>
        </w:rPr>
        <w:t>г</w:t>
      </w:r>
      <w:proofErr w:type="gramEnd"/>
      <w:r w:rsidRPr="00920FC9">
        <w:rPr>
          <w:sz w:val="28"/>
          <w:szCs w:val="28"/>
        </w:rPr>
        <w:t>. Рубцовска, МКУ «Управление образования» г. Рубцовска, управления Администрации города Рубцовска по жилищно-коммунальному, дорожному хозяйству и благоустройству</w:t>
      </w:r>
      <w:r>
        <w:rPr>
          <w:sz w:val="28"/>
          <w:szCs w:val="28"/>
        </w:rPr>
        <w:t xml:space="preserve">, пресс-службы Администрации города Рубцовска, учреждений культуры, спорта и образования 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D922B3" w:rsidRPr="00801749" w:rsidRDefault="00D922B3" w:rsidP="00D922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1749">
        <w:rPr>
          <w:sz w:val="28"/>
          <w:szCs w:val="28"/>
        </w:rPr>
        <w:t xml:space="preserve">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подростков; </w:t>
      </w:r>
      <w:proofErr w:type="gramEnd"/>
    </w:p>
    <w:p w:rsidR="00D922B3" w:rsidRPr="00801749" w:rsidRDefault="00D922B3" w:rsidP="00D922B3">
      <w:pPr>
        <w:jc w:val="both"/>
        <w:rPr>
          <w:sz w:val="28"/>
          <w:szCs w:val="28"/>
        </w:rPr>
      </w:pPr>
      <w:proofErr w:type="gramStart"/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организация и проведение «круглого стола», рабочих встреч и других мероприятий с участием представителей общественных объединений, учебных заведений, учреждений профилактики по проблемам наркомании;</w:t>
      </w:r>
      <w:proofErr w:type="gramEnd"/>
    </w:p>
    <w:p w:rsidR="00D922B3" w:rsidRPr="00801749" w:rsidRDefault="00D922B3" w:rsidP="00D922B3">
      <w:pPr>
        <w:jc w:val="both"/>
        <w:rPr>
          <w:sz w:val="28"/>
          <w:szCs w:val="28"/>
        </w:rPr>
      </w:pPr>
      <w:proofErr w:type="gramStart"/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жизни;</w:t>
      </w:r>
      <w:proofErr w:type="gramEnd"/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Фестиваля студенческого творчества «Наркотикам – нет!!!», городской акции «Я выбираю здоровье!»;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выявление на территории города Рубцовска 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выпуск специальных тематических полос в местной прессе, посвященных антинаркотической тематике;</w:t>
      </w:r>
    </w:p>
    <w:p w:rsidR="00D922B3" w:rsidRPr="00801749" w:rsidRDefault="00D922B3" w:rsidP="00D922B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 xml:space="preserve">проведение профилактической работы с учащимися общеобразовательных школ города по предупреждению злоупотребления наркотическими средствами и </w:t>
      </w:r>
      <w:proofErr w:type="spellStart"/>
      <w:r w:rsidRPr="00801749">
        <w:rPr>
          <w:sz w:val="28"/>
          <w:szCs w:val="28"/>
        </w:rPr>
        <w:t>психоактивными</w:t>
      </w:r>
      <w:proofErr w:type="spellEnd"/>
      <w:r w:rsidRPr="00801749">
        <w:rPr>
          <w:sz w:val="28"/>
          <w:szCs w:val="28"/>
        </w:rPr>
        <w:t xml:space="preserve"> веществами;</w:t>
      </w:r>
    </w:p>
    <w:p w:rsidR="00D922B3" w:rsidRPr="00801749" w:rsidRDefault="00D922B3" w:rsidP="00D922B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 xml:space="preserve">организация и проведение </w:t>
      </w:r>
      <w:proofErr w:type="spellStart"/>
      <w:r w:rsidRPr="00801749">
        <w:rPr>
          <w:sz w:val="28"/>
          <w:szCs w:val="28"/>
        </w:rPr>
        <w:t>антинаркотических</w:t>
      </w:r>
      <w:proofErr w:type="spellEnd"/>
      <w:r w:rsidRPr="00801749">
        <w:rPr>
          <w:sz w:val="28"/>
          <w:szCs w:val="28"/>
        </w:rPr>
        <w:t xml:space="preserve"> акций: </w:t>
      </w:r>
      <w:proofErr w:type="gramStart"/>
      <w:r w:rsidRPr="00801749">
        <w:rPr>
          <w:sz w:val="28"/>
          <w:szCs w:val="28"/>
        </w:rPr>
        <w:t xml:space="preserve">«Родительский урок», «Здоровье молодежи – богатство России!», «Летний лагерь – территория здоровья», «Классный час»; </w:t>
      </w:r>
      <w:proofErr w:type="gramEnd"/>
    </w:p>
    <w:p w:rsidR="00D922B3" w:rsidRPr="0080174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7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801749">
        <w:rPr>
          <w:rFonts w:ascii="Times New Roman" w:hAnsi="Times New Roman" w:cs="Times New Roman"/>
          <w:sz w:val="28"/>
          <w:szCs w:val="28"/>
        </w:rPr>
        <w:t>добровольное тестирование учащихся образовательных учреждений с целью выявления потребления наркотических средств;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 xml:space="preserve">создание агитбригад </w:t>
      </w:r>
      <w:proofErr w:type="gramStart"/>
      <w:r w:rsidRPr="00801749">
        <w:rPr>
          <w:sz w:val="28"/>
          <w:szCs w:val="28"/>
        </w:rPr>
        <w:t>из числа добровольцев для проведения выездных акций по пропаганде здорового образа жизни в школах</w:t>
      </w:r>
      <w:proofErr w:type="gramEnd"/>
      <w:r w:rsidRPr="00801749">
        <w:rPr>
          <w:sz w:val="28"/>
          <w:szCs w:val="28"/>
        </w:rPr>
        <w:t>, ВУЗах, оздоровительных лагерях;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детско-юношеских соревнований «</w:t>
      </w:r>
      <w:proofErr w:type="gramStart"/>
      <w:r w:rsidRPr="00801749">
        <w:rPr>
          <w:sz w:val="28"/>
          <w:szCs w:val="28"/>
        </w:rPr>
        <w:t>Карате</w:t>
      </w:r>
      <w:proofErr w:type="gramEnd"/>
      <w:r w:rsidRPr="00801749">
        <w:rPr>
          <w:sz w:val="28"/>
          <w:szCs w:val="28"/>
        </w:rPr>
        <w:t xml:space="preserve"> против наркотиков», «Фестиваль боевых искусств» и др.; </w:t>
      </w:r>
      <w:proofErr w:type="spellStart"/>
      <w:r w:rsidRPr="00801749">
        <w:rPr>
          <w:sz w:val="28"/>
          <w:szCs w:val="28"/>
        </w:rPr>
        <w:t>софинансирование</w:t>
      </w:r>
      <w:proofErr w:type="spellEnd"/>
      <w:r w:rsidRPr="00801749">
        <w:rPr>
          <w:sz w:val="28"/>
          <w:szCs w:val="28"/>
        </w:rPr>
        <w:t xml:space="preserve"> Всероссийских соревнований: «Золотая шайба», «Кожаный мяч», «Кросс Наций», «Лыжня России»;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фестиваля граффити, брейк-данса, посвященного проблемам наркомании, пропаганде здорового образа жизни;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школы студенческого (волонтерского) актива «Опасность среди нас»;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городского конкурса среди учреждений культуры на лучший проект (программу) по профилактике наркомании и здорового образа жизни;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укрепление материально-технической базы молодежных общественных объединений (в т.ч. военно-патриотических и спортивных клубов, др.);</w:t>
      </w:r>
    </w:p>
    <w:p w:rsidR="00D922B3" w:rsidRPr="0080174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01749">
        <w:rPr>
          <w:rFonts w:ascii="Times New Roman" w:hAnsi="Times New Roman" w:cs="Times New Roman"/>
          <w:sz w:val="28"/>
          <w:szCs w:val="28"/>
        </w:rPr>
        <w:t xml:space="preserve">организация и обеспечение работы волонтерских групп, </w:t>
      </w:r>
      <w:proofErr w:type="spellStart"/>
      <w:r w:rsidRPr="00801749">
        <w:rPr>
          <w:rFonts w:ascii="Times New Roman" w:hAnsi="Times New Roman" w:cs="Times New Roman"/>
          <w:sz w:val="28"/>
          <w:szCs w:val="28"/>
        </w:rPr>
        <w:t>наркопостов</w:t>
      </w:r>
      <w:proofErr w:type="spellEnd"/>
      <w:r w:rsidRPr="00801749"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учреждений;</w:t>
      </w:r>
    </w:p>
    <w:p w:rsidR="00D922B3" w:rsidRDefault="00D922B3" w:rsidP="00D922B3">
      <w:pPr>
        <w:tabs>
          <w:tab w:val="left" w:pos="0"/>
        </w:tabs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осуществление подписки на периодические издания по антинаркотической пропаганде, здоровому образу жизни.</w:t>
      </w:r>
    </w:p>
    <w:p w:rsidR="00D922B3" w:rsidRDefault="00D922B3" w:rsidP="00D922B3">
      <w:pPr>
        <w:ind w:firstLine="674"/>
        <w:rPr>
          <w:sz w:val="28"/>
          <w:szCs w:val="28"/>
        </w:rPr>
      </w:pPr>
      <w:r w:rsidRPr="004D7519">
        <w:rPr>
          <w:sz w:val="28"/>
          <w:szCs w:val="28"/>
        </w:rPr>
        <w:t>Сведения об индик</w:t>
      </w:r>
      <w:r>
        <w:rPr>
          <w:sz w:val="28"/>
          <w:szCs w:val="28"/>
        </w:rPr>
        <w:t>аторах Программы и их значениях:</w:t>
      </w:r>
    </w:p>
    <w:p w:rsidR="00D922B3" w:rsidRPr="00801749" w:rsidRDefault="00D922B3" w:rsidP="00D922B3">
      <w:pPr>
        <w:pStyle w:val="ConsPlusCel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1749">
        <w:rPr>
          <w:rStyle w:val="FontStyle16"/>
          <w:sz w:val="28"/>
          <w:szCs w:val="28"/>
        </w:rPr>
        <w:t>Доля  молодых  граждан в возрасте от 11 до 24 лет, во</w:t>
      </w:r>
      <w:r w:rsidRPr="00801749">
        <w:rPr>
          <w:rStyle w:val="FontStyle16"/>
          <w:sz w:val="28"/>
          <w:szCs w:val="28"/>
        </w:rPr>
        <w:softHyphen/>
        <w:t>влеченных в профилактиче</w:t>
      </w:r>
      <w:r w:rsidRPr="00801749">
        <w:rPr>
          <w:rStyle w:val="FontStyle16"/>
          <w:sz w:val="28"/>
          <w:szCs w:val="28"/>
        </w:rPr>
        <w:softHyphen/>
        <w:t>ские мероприятия, по отно</w:t>
      </w:r>
      <w:r w:rsidRPr="00801749">
        <w:rPr>
          <w:rStyle w:val="FontStyle16"/>
          <w:sz w:val="28"/>
          <w:szCs w:val="28"/>
        </w:rPr>
        <w:softHyphen/>
        <w:t>шению к общей численности молодежи, проживающей на территории города Рубцовска</w:t>
      </w:r>
      <w:r>
        <w:rPr>
          <w:rStyle w:val="FontStyle16"/>
          <w:sz w:val="28"/>
          <w:szCs w:val="28"/>
        </w:rPr>
        <w:t>, состав</w:t>
      </w:r>
      <w:r w:rsidR="00250DFF">
        <w:rPr>
          <w:rStyle w:val="FontStyle16"/>
          <w:sz w:val="28"/>
          <w:szCs w:val="28"/>
        </w:rPr>
        <w:t>ила</w:t>
      </w:r>
      <w:r>
        <w:rPr>
          <w:rStyle w:val="FontStyle16"/>
          <w:sz w:val="28"/>
          <w:szCs w:val="28"/>
        </w:rPr>
        <w:t xml:space="preserve"> 45 %.</w:t>
      </w:r>
    </w:p>
    <w:p w:rsidR="00D922B3" w:rsidRPr="00801749" w:rsidRDefault="00D922B3" w:rsidP="00D922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 xml:space="preserve">Доля </w:t>
      </w:r>
      <w:r w:rsidRPr="00801749">
        <w:rPr>
          <w:sz w:val="28"/>
          <w:szCs w:val="28"/>
        </w:rPr>
        <w:t>больных наркоманией, находящихся в ремиссии более 2 лет на 100 больных наркоманией  среднегодового контингента</w:t>
      </w:r>
      <w:r>
        <w:rPr>
          <w:sz w:val="28"/>
          <w:szCs w:val="28"/>
        </w:rPr>
        <w:t>, состав</w:t>
      </w:r>
      <w:r w:rsidR="00250DFF">
        <w:rPr>
          <w:sz w:val="28"/>
          <w:szCs w:val="28"/>
        </w:rPr>
        <w:t>ила</w:t>
      </w:r>
      <w:r>
        <w:rPr>
          <w:sz w:val="28"/>
          <w:szCs w:val="28"/>
        </w:rPr>
        <w:t xml:space="preserve"> </w:t>
      </w:r>
      <w:r w:rsidR="00250DFF">
        <w:rPr>
          <w:sz w:val="28"/>
          <w:szCs w:val="28"/>
        </w:rPr>
        <w:t>2</w:t>
      </w:r>
      <w:r w:rsidRPr="005E4705">
        <w:rPr>
          <w:sz w:val="28"/>
          <w:szCs w:val="28"/>
        </w:rPr>
        <w:t>,</w:t>
      </w:r>
      <w:r w:rsidR="00250DFF">
        <w:rPr>
          <w:sz w:val="28"/>
          <w:szCs w:val="28"/>
        </w:rPr>
        <w:t>7</w:t>
      </w:r>
      <w:r w:rsidRPr="005E4705">
        <w:rPr>
          <w:sz w:val="28"/>
          <w:szCs w:val="28"/>
        </w:rPr>
        <w:t>.</w:t>
      </w:r>
      <w:r w:rsidRPr="00801749">
        <w:rPr>
          <w:sz w:val="28"/>
          <w:szCs w:val="28"/>
        </w:rPr>
        <w:t xml:space="preserve">  </w:t>
      </w:r>
    </w:p>
    <w:p w:rsidR="00D922B3" w:rsidRPr="00801749" w:rsidRDefault="00D922B3" w:rsidP="00D922B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801749">
        <w:rPr>
          <w:sz w:val="28"/>
          <w:szCs w:val="28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</w:r>
      <w:r w:rsidR="006D34D0">
        <w:rPr>
          <w:sz w:val="28"/>
          <w:szCs w:val="28"/>
        </w:rPr>
        <w:t xml:space="preserve"> – 6</w:t>
      </w:r>
      <w:r>
        <w:rPr>
          <w:sz w:val="28"/>
          <w:szCs w:val="28"/>
        </w:rPr>
        <w:t>%.</w:t>
      </w:r>
      <w:proofErr w:type="gramEnd"/>
    </w:p>
    <w:p w:rsidR="00D922B3" w:rsidRPr="005E4705" w:rsidRDefault="00D922B3" w:rsidP="00D922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</w:t>
      </w:r>
      <w:r w:rsidR="006D34D0">
        <w:rPr>
          <w:color w:val="000000"/>
          <w:sz w:val="28"/>
          <w:szCs w:val="28"/>
        </w:rPr>
        <w:t xml:space="preserve"> составила </w:t>
      </w:r>
      <w:r w:rsidR="00250DFF">
        <w:rPr>
          <w:color w:val="000000"/>
          <w:sz w:val="28"/>
          <w:szCs w:val="28"/>
        </w:rPr>
        <w:t>3</w:t>
      </w:r>
      <w:r w:rsidR="006D34D0">
        <w:rPr>
          <w:color w:val="000000"/>
          <w:sz w:val="28"/>
          <w:szCs w:val="28"/>
        </w:rPr>
        <w:t>,</w:t>
      </w:r>
      <w:r w:rsidR="00250D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</w:p>
    <w:p w:rsidR="00D922B3" w:rsidRDefault="00D922B3" w:rsidP="00D92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 xml:space="preserve">Количество выявленных </w:t>
      </w:r>
      <w:r w:rsidRPr="00801749">
        <w:rPr>
          <w:sz w:val="28"/>
          <w:szCs w:val="28"/>
        </w:rPr>
        <w:t>хозяйствующих субъектов и физических лиц, на земельных участках которых имеются очаги произрастания дикорастущей конопли</w:t>
      </w:r>
      <w:r>
        <w:rPr>
          <w:sz w:val="28"/>
          <w:szCs w:val="28"/>
        </w:rPr>
        <w:t xml:space="preserve"> – 1</w:t>
      </w:r>
      <w:r w:rsidR="006D34D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922B3" w:rsidRPr="00622665" w:rsidRDefault="00D922B3" w:rsidP="00D922B3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Комплексная оценка эффективности реализации Программы равна </w:t>
      </w:r>
      <w:r w:rsidR="006D34D0">
        <w:rPr>
          <w:color w:val="000000"/>
          <w:sz w:val="28"/>
          <w:szCs w:val="28"/>
        </w:rPr>
        <w:t>89,6</w:t>
      </w:r>
      <w:r w:rsidR="006D34D0" w:rsidRPr="00D72947">
        <w:rPr>
          <w:color w:val="000000"/>
          <w:sz w:val="28"/>
          <w:szCs w:val="28"/>
        </w:rPr>
        <w:t xml:space="preserve"> %</w:t>
      </w:r>
      <w:r w:rsidR="006D34D0">
        <w:rPr>
          <w:color w:val="000000"/>
          <w:sz w:val="28"/>
          <w:szCs w:val="28"/>
        </w:rPr>
        <w:t>.</w:t>
      </w:r>
    </w:p>
    <w:p w:rsidR="00D922B3" w:rsidRPr="004D751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</w:t>
      </w:r>
      <w:r w:rsidR="006D34D0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году, можно сделать вывод, что Программа реализуется с</w:t>
      </w:r>
      <w:r w:rsidR="006D34D0">
        <w:rPr>
          <w:rFonts w:ascii="Times New Roman" w:hAnsi="Times New Roman" w:cs="Times New Roman"/>
          <w:sz w:val="28"/>
          <w:szCs w:val="28"/>
          <w:lang w:eastAsia="en-US"/>
        </w:rPr>
        <w:t xml:space="preserve"> высоким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уровнем эффективности.</w:t>
      </w:r>
    </w:p>
    <w:p w:rsidR="00D922B3" w:rsidRPr="00236BF1" w:rsidRDefault="00D922B3" w:rsidP="00D922B3">
      <w:pPr>
        <w:rPr>
          <w:lang w:eastAsia="en-US"/>
        </w:rPr>
      </w:pPr>
    </w:p>
    <w:p w:rsidR="00D922B3" w:rsidRDefault="00D922B3" w:rsidP="00D922B3">
      <w:pPr>
        <w:jc w:val="both"/>
        <w:rPr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Pr="0026585C" w:rsidRDefault="00D922B3" w:rsidP="00D922B3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Исп. Ю.В. Осипенко</w:t>
      </w:r>
    </w:p>
    <w:p w:rsidR="00D922B3" w:rsidRPr="0026585C" w:rsidRDefault="00D922B3" w:rsidP="00D922B3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4-22-31</w:t>
      </w:r>
    </w:p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B3"/>
    <w:rsid w:val="00102B1C"/>
    <w:rsid w:val="001320C4"/>
    <w:rsid w:val="00250DFF"/>
    <w:rsid w:val="00574581"/>
    <w:rsid w:val="005A7F01"/>
    <w:rsid w:val="006D34D0"/>
    <w:rsid w:val="007B4590"/>
    <w:rsid w:val="007E38E2"/>
    <w:rsid w:val="00860302"/>
    <w:rsid w:val="009C3B37"/>
    <w:rsid w:val="00A618C8"/>
    <w:rsid w:val="00C30EA8"/>
    <w:rsid w:val="00C6265D"/>
    <w:rsid w:val="00D54B5C"/>
    <w:rsid w:val="00D922B3"/>
    <w:rsid w:val="00DC14E6"/>
    <w:rsid w:val="00E40F7F"/>
    <w:rsid w:val="00F62764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22B3"/>
    <w:pPr>
      <w:ind w:left="720"/>
      <w:contextualSpacing/>
    </w:pPr>
  </w:style>
  <w:style w:type="paragraph" w:customStyle="1" w:styleId="ConsPlusCell">
    <w:name w:val="ConsPlusCell"/>
    <w:uiPriority w:val="99"/>
    <w:rsid w:val="00D92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922B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D922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6</cp:revision>
  <dcterms:created xsi:type="dcterms:W3CDTF">2016-04-27T07:50:00Z</dcterms:created>
  <dcterms:modified xsi:type="dcterms:W3CDTF">2017-04-20T03:28:00Z</dcterms:modified>
</cp:coreProperties>
</file>