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23" w:rsidRDefault="00184723" w:rsidP="00184723"/>
    <w:p w:rsidR="00184723" w:rsidRDefault="00184723" w:rsidP="00184723">
      <w:pPr>
        <w:rPr>
          <w:sz w:val="28"/>
          <w:szCs w:val="28"/>
        </w:rPr>
      </w:pPr>
    </w:p>
    <w:p w:rsidR="00184723" w:rsidRDefault="00184723" w:rsidP="00184723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</w:t>
      </w:r>
      <w:r w:rsidRPr="00DE47C1">
        <w:rPr>
          <w:b/>
          <w:bCs/>
          <w:sz w:val="28"/>
          <w:szCs w:val="28"/>
        </w:rPr>
        <w:t xml:space="preserve">муниципальной программы </w:t>
      </w:r>
      <w:r w:rsidRPr="00521C47">
        <w:t xml:space="preserve"> </w:t>
      </w:r>
      <w:r w:rsidRPr="008D6BE0">
        <w:rPr>
          <w:b/>
          <w:sz w:val="28"/>
          <w:szCs w:val="28"/>
        </w:rPr>
        <w:t>«Развитие муниципальной системы образования города Рубцовска» на 2015-2017 годы за 2015 год</w:t>
      </w:r>
    </w:p>
    <w:p w:rsidR="00184723" w:rsidRPr="008D6BE0" w:rsidRDefault="00184723" w:rsidP="00184723">
      <w:pPr>
        <w:jc w:val="center"/>
        <w:rPr>
          <w:b/>
          <w:sz w:val="28"/>
          <w:szCs w:val="28"/>
        </w:rPr>
      </w:pPr>
    </w:p>
    <w:p w:rsidR="00184723" w:rsidRDefault="00184723" w:rsidP="00184723">
      <w:pPr>
        <w:ind w:firstLine="709"/>
        <w:jc w:val="both"/>
        <w:rPr>
          <w:sz w:val="28"/>
          <w:szCs w:val="28"/>
        </w:rPr>
      </w:pPr>
      <w:r w:rsidRPr="008D6BE0">
        <w:rPr>
          <w:bCs/>
          <w:sz w:val="28"/>
          <w:szCs w:val="28"/>
        </w:rPr>
        <w:t>Муниципальная программа «</w:t>
      </w:r>
      <w:r w:rsidRPr="008D6BE0">
        <w:rPr>
          <w:sz w:val="28"/>
          <w:szCs w:val="28"/>
        </w:rPr>
        <w:t>Развитие муниципальной системы образования города Рубцовска» на 2015-2017 годы</w:t>
      </w:r>
      <w:r w:rsidRPr="008D6BE0">
        <w:rPr>
          <w:b/>
          <w:sz w:val="28"/>
          <w:szCs w:val="28"/>
        </w:rPr>
        <w:t xml:space="preserve"> </w:t>
      </w:r>
      <w:r w:rsidRPr="008D6BE0">
        <w:rPr>
          <w:sz w:val="28"/>
          <w:szCs w:val="28"/>
        </w:rPr>
        <w:t xml:space="preserve">(далее по тексту – Программа) утверждена постановлением Администрации города Рубцовска Алтайского края </w:t>
      </w:r>
      <w:r>
        <w:rPr>
          <w:sz w:val="28"/>
          <w:szCs w:val="28"/>
        </w:rPr>
        <w:t>05.09.2014 №</w:t>
      </w:r>
      <w:r w:rsidRPr="008D6BE0">
        <w:rPr>
          <w:sz w:val="28"/>
          <w:szCs w:val="28"/>
        </w:rPr>
        <w:t>3764 в целях создания условий для модернизации и инновационного развития муниципальной системы образования, обеспечивающего равные права граждан на получение качественного общего образования, эффективное использование ресурсов.</w:t>
      </w:r>
    </w:p>
    <w:p w:rsidR="00184723" w:rsidRPr="00F47567" w:rsidRDefault="00184723" w:rsidP="00184723">
      <w:pPr>
        <w:ind w:firstLine="709"/>
        <w:jc w:val="both"/>
        <w:rPr>
          <w:sz w:val="28"/>
          <w:szCs w:val="28"/>
        </w:rPr>
      </w:pPr>
      <w:proofErr w:type="gramStart"/>
      <w:r w:rsidRPr="00F47567">
        <w:rPr>
          <w:sz w:val="28"/>
          <w:szCs w:val="28"/>
        </w:rPr>
        <w:t>На основании постановления Администрации город</w:t>
      </w:r>
      <w:r>
        <w:rPr>
          <w:sz w:val="28"/>
          <w:szCs w:val="28"/>
        </w:rPr>
        <w:t>а Рубцовска Алтайского края от 20</w:t>
      </w:r>
      <w:r w:rsidRPr="00F47567">
        <w:rPr>
          <w:sz w:val="28"/>
          <w:szCs w:val="28"/>
        </w:rPr>
        <w:t>.02.201</w:t>
      </w:r>
      <w:r>
        <w:rPr>
          <w:sz w:val="28"/>
          <w:szCs w:val="28"/>
        </w:rPr>
        <w:t>6</w:t>
      </w:r>
      <w:r w:rsidRPr="00F47567">
        <w:rPr>
          <w:sz w:val="28"/>
          <w:szCs w:val="28"/>
        </w:rPr>
        <w:t xml:space="preserve"> </w:t>
      </w:r>
      <w:r>
        <w:rPr>
          <w:sz w:val="28"/>
          <w:szCs w:val="28"/>
        </w:rPr>
        <w:t>№ 844</w:t>
      </w:r>
      <w:r w:rsidRPr="00F47567">
        <w:rPr>
          <w:sz w:val="28"/>
          <w:szCs w:val="28"/>
        </w:rPr>
        <w:t xml:space="preserve">«О внесении изменений в постановление Администрации города Рубцовска Алтайского края от </w:t>
      </w:r>
      <w:r>
        <w:rPr>
          <w:sz w:val="28"/>
          <w:szCs w:val="28"/>
        </w:rPr>
        <w:t>05</w:t>
      </w:r>
      <w:r w:rsidRPr="00F4756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47567">
        <w:rPr>
          <w:sz w:val="28"/>
          <w:szCs w:val="28"/>
        </w:rPr>
        <w:t>.2014 № 3</w:t>
      </w:r>
      <w:r>
        <w:rPr>
          <w:sz w:val="28"/>
          <w:szCs w:val="28"/>
        </w:rPr>
        <w:t>764</w:t>
      </w:r>
      <w:r w:rsidRPr="00F47567">
        <w:rPr>
          <w:sz w:val="28"/>
          <w:szCs w:val="28"/>
        </w:rPr>
        <w:t xml:space="preserve"> «</w:t>
      </w:r>
      <w:r w:rsidRPr="00F47567">
        <w:rPr>
          <w:bCs/>
          <w:sz w:val="28"/>
          <w:szCs w:val="28"/>
        </w:rPr>
        <w:t xml:space="preserve">Об утверждении муниципальной программы </w:t>
      </w:r>
      <w:r w:rsidRPr="008D6BE0">
        <w:rPr>
          <w:bCs/>
          <w:sz w:val="28"/>
          <w:szCs w:val="28"/>
        </w:rPr>
        <w:t>«</w:t>
      </w:r>
      <w:r w:rsidRPr="008D6BE0">
        <w:rPr>
          <w:sz w:val="28"/>
          <w:szCs w:val="28"/>
        </w:rPr>
        <w:t>Развитие муниципальной системы образования города Рубцовска» на 2015-2017 годы</w:t>
      </w:r>
      <w:r w:rsidRPr="008D6BE0">
        <w:rPr>
          <w:b/>
          <w:sz w:val="28"/>
          <w:szCs w:val="28"/>
        </w:rPr>
        <w:t xml:space="preserve"> </w:t>
      </w:r>
      <w:r w:rsidRPr="00F47567">
        <w:rPr>
          <w:sz w:val="28"/>
          <w:szCs w:val="28"/>
        </w:rPr>
        <w:t>в Программу были внесены изменения, касающиеся объемов финансовых ресурсов, необходимых для реализации Программы и ожидаемых результатов реализации Программы.</w:t>
      </w:r>
      <w:proofErr w:type="gramEnd"/>
    </w:p>
    <w:p w:rsidR="00184723" w:rsidRDefault="00184723" w:rsidP="0018472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F47567">
        <w:rPr>
          <w:sz w:val="28"/>
          <w:szCs w:val="28"/>
        </w:rPr>
        <w:t xml:space="preserve">В 2015 году из средств бюджета города на реализацию мероприятий Программы было запланировано </w:t>
      </w:r>
      <w:r>
        <w:rPr>
          <w:sz w:val="28"/>
          <w:szCs w:val="28"/>
        </w:rPr>
        <w:t>357669,8</w:t>
      </w:r>
      <w:r w:rsidRPr="00F47567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>
        <w:rPr>
          <w:sz w:val="28"/>
          <w:szCs w:val="28"/>
        </w:rPr>
        <w:t>318344,7</w:t>
      </w:r>
      <w:r w:rsidRPr="00F47567">
        <w:rPr>
          <w:sz w:val="28"/>
          <w:szCs w:val="28"/>
        </w:rPr>
        <w:t xml:space="preserve"> тыс. руб. из средств бюджета города. Финансирование мероприятий Программы составило </w:t>
      </w:r>
      <w:r>
        <w:rPr>
          <w:sz w:val="28"/>
          <w:szCs w:val="28"/>
        </w:rPr>
        <w:t>8</w:t>
      </w:r>
      <w:r w:rsidRPr="00F47567">
        <w:rPr>
          <w:sz w:val="28"/>
          <w:szCs w:val="28"/>
        </w:rPr>
        <w:t>9%.</w:t>
      </w:r>
    </w:p>
    <w:p w:rsidR="00184723" w:rsidRDefault="00184723" w:rsidP="001847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4BBD">
        <w:rPr>
          <w:rFonts w:eastAsiaTheme="minorHAnsi"/>
          <w:sz w:val="28"/>
          <w:szCs w:val="28"/>
          <w:lang w:eastAsia="en-US"/>
        </w:rPr>
        <w:t>Анализируя показатели исполнения мероприятий подпрограмм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4BBD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174BBD">
        <w:rPr>
          <w:spacing w:val="-1"/>
          <w:sz w:val="28"/>
          <w:szCs w:val="28"/>
        </w:rPr>
        <w:t xml:space="preserve">программа </w:t>
      </w:r>
      <w:r w:rsidRPr="00174BBD">
        <w:rPr>
          <w:sz w:val="28"/>
          <w:szCs w:val="28"/>
        </w:rPr>
        <w:t>«Развитие муниципальной системы образования города Рубцовска» на 2015-2017 годы»</w:t>
      </w:r>
      <w:r w:rsidRPr="00174BBD">
        <w:rPr>
          <w:rFonts w:eastAsiaTheme="minorHAnsi"/>
          <w:sz w:val="28"/>
          <w:szCs w:val="28"/>
          <w:lang w:eastAsia="en-US"/>
        </w:rPr>
        <w:t xml:space="preserve"> необходимо отметить, что все мероприятия в 2015 году реализовывались достаточно эффективно и выполнялись строго в соответствии с планами р</w:t>
      </w:r>
      <w:r>
        <w:rPr>
          <w:rFonts w:eastAsiaTheme="minorHAnsi"/>
          <w:sz w:val="28"/>
          <w:szCs w:val="28"/>
          <w:lang w:eastAsia="en-US"/>
        </w:rPr>
        <w:t>еализации, утвержденными на год.</w:t>
      </w:r>
    </w:p>
    <w:p w:rsidR="00184723" w:rsidRPr="001657A2" w:rsidRDefault="00184723" w:rsidP="00184723">
      <w:pPr>
        <w:ind w:firstLine="67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Следующие мероприятия Программы выполнены</w:t>
      </w:r>
      <w:r w:rsidRPr="001657A2">
        <w:rPr>
          <w:rFonts w:eastAsiaTheme="minorHAnsi"/>
          <w:sz w:val="28"/>
          <w:szCs w:val="28"/>
          <w:lang w:eastAsia="en-US"/>
        </w:rPr>
        <w:t xml:space="preserve"> </w:t>
      </w:r>
      <w:r w:rsidRPr="00174BBD">
        <w:rPr>
          <w:rFonts w:eastAsiaTheme="minorHAnsi"/>
          <w:sz w:val="28"/>
          <w:szCs w:val="28"/>
          <w:lang w:eastAsia="en-US"/>
        </w:rPr>
        <w:t xml:space="preserve">практически </w:t>
      </w:r>
      <w:r>
        <w:rPr>
          <w:rFonts w:eastAsiaTheme="minorHAnsi"/>
          <w:sz w:val="28"/>
          <w:szCs w:val="28"/>
          <w:lang w:eastAsia="en-US"/>
        </w:rPr>
        <w:t>на 100 %.</w:t>
      </w:r>
    </w:p>
    <w:p w:rsidR="00184723" w:rsidRPr="007251AD" w:rsidRDefault="00184723" w:rsidP="001847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51A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). </w:t>
      </w:r>
      <w:r w:rsidRPr="007251AD">
        <w:rPr>
          <w:sz w:val="28"/>
          <w:szCs w:val="28"/>
        </w:rPr>
        <w:t xml:space="preserve">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учреждений).</w:t>
      </w:r>
    </w:p>
    <w:p w:rsidR="00184723" w:rsidRPr="007251AD" w:rsidRDefault="00184723" w:rsidP="001847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51AD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51AD">
        <w:rPr>
          <w:sz w:val="28"/>
          <w:szCs w:val="28"/>
        </w:rPr>
        <w:t xml:space="preserve"> Обеспечение безопасных условий функционирования и повышение уровня пожарной безопасности муниципальных образовательных учреждений</w:t>
      </w:r>
      <w:r w:rsidRPr="007251AD">
        <w:rPr>
          <w:rFonts w:eastAsiaTheme="minorHAnsi"/>
          <w:sz w:val="28"/>
          <w:szCs w:val="28"/>
          <w:lang w:eastAsia="en-US"/>
        </w:rPr>
        <w:t xml:space="preserve"> </w:t>
      </w:r>
    </w:p>
    <w:p w:rsidR="00184723" w:rsidRPr="007251AD" w:rsidRDefault="00184723" w:rsidP="001847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51A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). </w:t>
      </w:r>
      <w:r w:rsidRPr="007251AD">
        <w:rPr>
          <w:sz w:val="28"/>
          <w:szCs w:val="28"/>
        </w:rPr>
        <w:t xml:space="preserve">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</w:t>
      </w:r>
    </w:p>
    <w:p w:rsidR="00184723" w:rsidRPr="007251AD" w:rsidRDefault="00184723" w:rsidP="001847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51A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). </w:t>
      </w:r>
      <w:r w:rsidRPr="007251AD">
        <w:rPr>
          <w:sz w:val="28"/>
          <w:szCs w:val="28"/>
        </w:rPr>
        <w:t xml:space="preserve"> 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</w:p>
    <w:p w:rsidR="00184723" w:rsidRPr="001657A2" w:rsidRDefault="00184723" w:rsidP="001847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251A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251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7251AD">
        <w:rPr>
          <w:rFonts w:eastAsiaTheme="minorHAnsi"/>
          <w:sz w:val="28"/>
          <w:szCs w:val="28"/>
          <w:lang w:eastAsia="en-US"/>
        </w:rPr>
        <w:t xml:space="preserve">беспечение контроля за деятельностью образовательных учреждений муниципальной системы образования </w:t>
      </w:r>
      <w:proofErr w:type="gramStart"/>
      <w:r w:rsidRPr="007251AD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7251AD">
        <w:rPr>
          <w:rFonts w:eastAsiaTheme="minorHAnsi"/>
          <w:sz w:val="28"/>
          <w:szCs w:val="28"/>
          <w:lang w:eastAsia="en-US"/>
        </w:rPr>
        <w:t>. Рубцовск</w:t>
      </w:r>
    </w:p>
    <w:p w:rsidR="00184723" w:rsidRDefault="00184723" w:rsidP="00184723">
      <w:pPr>
        <w:ind w:firstLine="674"/>
        <w:jc w:val="both"/>
        <w:rPr>
          <w:sz w:val="28"/>
          <w:szCs w:val="28"/>
        </w:rPr>
      </w:pPr>
    </w:p>
    <w:p w:rsidR="00184723" w:rsidRDefault="00184723" w:rsidP="00184723">
      <w:pPr>
        <w:ind w:firstLine="674"/>
        <w:jc w:val="both"/>
        <w:rPr>
          <w:sz w:val="28"/>
          <w:szCs w:val="28"/>
        </w:rPr>
      </w:pPr>
    </w:p>
    <w:p w:rsidR="00184723" w:rsidRDefault="00184723" w:rsidP="00184723">
      <w:pPr>
        <w:ind w:firstLine="674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184723" w:rsidRDefault="00184723" w:rsidP="00184723">
      <w:pPr>
        <w:ind w:firstLine="674"/>
        <w:rPr>
          <w:sz w:val="28"/>
          <w:szCs w:val="28"/>
        </w:rPr>
      </w:pPr>
    </w:p>
    <w:p w:rsidR="00184723" w:rsidRDefault="00184723" w:rsidP="00184723">
      <w:pPr>
        <w:ind w:firstLine="674"/>
        <w:jc w:val="center"/>
        <w:rPr>
          <w:sz w:val="28"/>
          <w:szCs w:val="28"/>
        </w:rPr>
      </w:pPr>
      <w:r w:rsidRPr="004D7519">
        <w:rPr>
          <w:sz w:val="28"/>
          <w:szCs w:val="28"/>
        </w:rPr>
        <w:t>Сведения об индик</w:t>
      </w:r>
      <w:r>
        <w:rPr>
          <w:sz w:val="28"/>
          <w:szCs w:val="28"/>
        </w:rPr>
        <w:t>аторах Программы и их значениях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992"/>
        <w:gridCol w:w="1701"/>
        <w:gridCol w:w="1559"/>
        <w:gridCol w:w="1701"/>
      </w:tblGrid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871B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1B59">
              <w:rPr>
                <w:sz w:val="28"/>
                <w:szCs w:val="28"/>
              </w:rPr>
              <w:t>/</w:t>
            </w:r>
            <w:proofErr w:type="spellStart"/>
            <w:r w:rsidRPr="00871B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Наименование индикаторов, показателей МП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0"/>
                <w:szCs w:val="20"/>
              </w:rPr>
              <w:t xml:space="preserve"> (согласно паспорту МП)</w:t>
            </w:r>
          </w:p>
        </w:tc>
        <w:tc>
          <w:tcPr>
            <w:tcW w:w="992" w:type="dxa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Единицы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План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559" w:type="dxa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Факт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701" w:type="dxa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Фа</w:t>
            </w:r>
            <w:proofErr w:type="gramStart"/>
            <w:r w:rsidRPr="00871B59">
              <w:rPr>
                <w:sz w:val="28"/>
                <w:szCs w:val="28"/>
              </w:rPr>
              <w:t>кт к пл</w:t>
            </w:r>
            <w:proofErr w:type="gramEnd"/>
            <w:r w:rsidRPr="00871B59">
              <w:rPr>
                <w:sz w:val="28"/>
                <w:szCs w:val="28"/>
              </w:rPr>
              <w:t>ану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 xml:space="preserve">в % 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или отклонение</w:t>
            </w:r>
            <w:proofErr w:type="gramStart"/>
            <w:r w:rsidRPr="00871B59">
              <w:rPr>
                <w:sz w:val="28"/>
                <w:szCs w:val="28"/>
              </w:rPr>
              <w:t xml:space="preserve"> (+) (-)</w:t>
            </w:r>
            <w:proofErr w:type="gramEnd"/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3B34DB">
              <w:t>Доля детей в возрасте от 3 до 7 лет, которым предоставлена воз</w:t>
            </w:r>
            <w:r w:rsidRPr="003B34DB">
              <w:softHyphen/>
              <w:t>можность получать услуги дошкольного образования, в общей численности детей в возрасте от 3 до 7 лет, скорректированной на численность детей в возрасте от 5 до 7 лет, обучающихся в школе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3B34DB">
              <w:t>Доля лиц, сдавших единый государственный экзамен по русскому языку и математике, в общей численности выпускников общеобразовательных организаций, участвовавших в  едином государственном экзамене по данным предметам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98,4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99,6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101,2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3B34DB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75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75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0746F0">
              <w:t xml:space="preserve">Доля </w:t>
            </w:r>
            <w:r>
              <w:t>руководящих и педагогических работников муници</w:t>
            </w:r>
            <w:r w:rsidRPr="000746F0">
              <w:t>пальных бюджетных общеоб</w:t>
            </w:r>
            <w:r>
              <w:t>разовательных организаций, свое</w:t>
            </w:r>
            <w:r w:rsidRPr="000746F0">
              <w:t>време</w:t>
            </w:r>
            <w:r>
              <w:t>нно прошедших повышение квалификации или професси</w:t>
            </w:r>
            <w:r w:rsidRPr="000746F0">
              <w:t>ональную пе</w:t>
            </w:r>
            <w:r>
              <w:t>реподго</w:t>
            </w:r>
            <w:r w:rsidRPr="000746F0">
              <w:t>товку в соответствии с ФГОС, в общей численности руко</w:t>
            </w:r>
            <w:r>
              <w:t>водящих и педагогических работников ор</w:t>
            </w:r>
            <w:r w:rsidRPr="000746F0">
              <w:t xml:space="preserve">ганизаций общего </w:t>
            </w:r>
            <w:proofErr w:type="spellStart"/>
            <w:proofErr w:type="gramStart"/>
            <w:r w:rsidRPr="000746F0">
              <w:t>об-разования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98,6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98,6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3B34DB">
              <w:t>Доля детей в возрасте 5 - 18 лет, получающих услуги по дополнительному образованию  в муниципальных организациях дополнительного образования детей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76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59,3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78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t>Доля детей, охвачен</w:t>
            </w:r>
            <w:r w:rsidRPr="000746F0">
              <w:t>ных ор</w:t>
            </w:r>
            <w:r>
              <w:t>ганизованным отдыхом, оздоровле</w:t>
            </w:r>
            <w:r w:rsidRPr="000746F0">
              <w:t>нием и занятостью, в общем количестве де</w:t>
            </w:r>
            <w:r>
              <w:t>тей школьного воз</w:t>
            </w:r>
            <w:r w:rsidRPr="000746F0">
              <w:t>раста (от 6 до 18 лет)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63,7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92,2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144</w:t>
            </w:r>
          </w:p>
        </w:tc>
      </w:tr>
      <w:tr w:rsidR="00184723" w:rsidTr="00861CE0">
        <w:tc>
          <w:tcPr>
            <w:tcW w:w="10490" w:type="dxa"/>
            <w:gridSpan w:val="6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1 «Развитие дошкольного образования»</w:t>
            </w:r>
          </w:p>
        </w:tc>
      </w:tr>
      <w:tr w:rsidR="00184723" w:rsidTr="00861CE0">
        <w:tc>
          <w:tcPr>
            <w:tcW w:w="4537" w:type="dxa"/>
            <w:gridSpan w:val="2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723" w:rsidRPr="00871B59" w:rsidRDefault="00184723" w:rsidP="00861CE0">
            <w:pPr>
              <w:jc w:val="right"/>
              <w:rPr>
                <w:sz w:val="28"/>
                <w:szCs w:val="28"/>
              </w:rPr>
            </w:pP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3B34DB">
              <w:t xml:space="preserve">Доля детей в возрасте 2-7 лет, получающих услугу дошкольного образования в муниципальных </w:t>
            </w:r>
            <w:r w:rsidRPr="003B34DB">
              <w:lastRenderedPageBreak/>
              <w:t>дошкольных образовательных учреждениях к общей численности детей в возрасте 2- 7 лет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184723" w:rsidRPr="00E3341D" w:rsidRDefault="00184723" w:rsidP="00861CE0">
            <w:pPr>
              <w:jc w:val="center"/>
            </w:pPr>
            <w:r>
              <w:t>65</w:t>
            </w:r>
          </w:p>
        </w:tc>
        <w:tc>
          <w:tcPr>
            <w:tcW w:w="1559" w:type="dxa"/>
            <w:vAlign w:val="center"/>
          </w:tcPr>
          <w:p w:rsidR="00184723" w:rsidRPr="00E3341D" w:rsidRDefault="00184723" w:rsidP="00861CE0">
            <w:pPr>
              <w:jc w:val="center"/>
            </w:pPr>
            <w:r>
              <w:t>76,3</w:t>
            </w:r>
          </w:p>
        </w:tc>
        <w:tc>
          <w:tcPr>
            <w:tcW w:w="1701" w:type="dxa"/>
            <w:vAlign w:val="center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117,3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</w:t>
            </w:r>
            <w:r w:rsidRPr="00871B59">
              <w:rPr>
                <w:b/>
              </w:rPr>
              <w:t>одпрограмма 2 «Развитие общего образования»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t>Д</w:t>
            </w:r>
            <w:r w:rsidRPr="003B34DB">
              <w:t>оля выпускников муниципальных общеобразовательных учреждений, не получивших аттестат о среднем (полном)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1,6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3,3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48,5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t>У</w:t>
            </w:r>
            <w:r w:rsidRPr="003B34DB">
              <w:t xml:space="preserve">дельный вес обучающихся по программам общего образования, призеров и победителей в олимпиадах и конкурсах различного уровня, в общей </w:t>
            </w:r>
            <w:proofErr w:type="gramStart"/>
            <w:r w:rsidRPr="003B34DB">
              <w:t>численности</w:t>
            </w:r>
            <w:proofErr w:type="gramEnd"/>
            <w:r w:rsidRPr="003B34DB">
              <w:t xml:space="preserve"> обучающихся по программам общего образования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всеми видами питания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97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97</w:t>
            </w:r>
          </w:p>
        </w:tc>
        <w:tc>
          <w:tcPr>
            <w:tcW w:w="1701" w:type="dxa"/>
            <w:vAlign w:val="bottom"/>
          </w:tcPr>
          <w:p w:rsidR="00184723" w:rsidRPr="00014606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</w:t>
            </w:r>
            <w:r w:rsidRPr="00871B59">
              <w:rPr>
                <w:b/>
              </w:rPr>
              <w:t>одпрограмма 3 «Развитие дополнительного образования»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rPr>
                <w:lang w:eastAsia="en-US"/>
              </w:rPr>
              <w:t>Число детей,</w:t>
            </w:r>
            <w:r w:rsidRPr="003B34DB">
              <w:rPr>
                <w:lang w:eastAsia="en-US"/>
              </w:rPr>
              <w:t xml:space="preserve">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992" w:type="dxa"/>
            <w:vAlign w:val="bottom"/>
          </w:tcPr>
          <w:p w:rsidR="00184723" w:rsidRPr="00FF77E8" w:rsidRDefault="00184723" w:rsidP="00861CE0">
            <w:pPr>
              <w:jc w:val="center"/>
            </w:pPr>
            <w:r>
              <w:t>Чел.</w:t>
            </w:r>
          </w:p>
        </w:tc>
        <w:tc>
          <w:tcPr>
            <w:tcW w:w="1701" w:type="dxa"/>
            <w:vAlign w:val="bottom"/>
          </w:tcPr>
          <w:p w:rsidR="00184723" w:rsidRPr="00FF77E8" w:rsidRDefault="00184723" w:rsidP="00861CE0">
            <w:pPr>
              <w:jc w:val="center"/>
            </w:pPr>
            <w:r>
              <w:t>440</w:t>
            </w:r>
          </w:p>
        </w:tc>
        <w:tc>
          <w:tcPr>
            <w:tcW w:w="1559" w:type="dxa"/>
            <w:vAlign w:val="bottom"/>
          </w:tcPr>
          <w:p w:rsidR="00184723" w:rsidRPr="00FF77E8" w:rsidRDefault="00184723" w:rsidP="00861CE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bottom"/>
          </w:tcPr>
          <w:p w:rsidR="00184723" w:rsidRPr="00FF77E8" w:rsidRDefault="00184723" w:rsidP="00861CE0">
            <w:pPr>
              <w:jc w:val="center"/>
            </w:pPr>
            <w:r>
              <w:t>71,6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</w:t>
            </w:r>
            <w:r w:rsidRPr="00871B59">
              <w:rPr>
                <w:b/>
              </w:rPr>
              <w:t>одпрограмма 4 «Создание условий для организации отдыха, оздоровления и занятости детей и подростков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 w:rsidRPr="003B34DB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50,3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70,6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140,4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t>Д</w:t>
            </w:r>
            <w:r w:rsidRPr="00C77FA2">
              <w:t>оля детей, временно трудоустроенных, в общем количестве детей школьного возраста от 14 до 18 лет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11,5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133,9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5"/>
          </w:tcPr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5 «Кадры»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184723" w:rsidRPr="003B34DB" w:rsidRDefault="00184723" w:rsidP="00861CE0">
            <w:pPr>
              <w:jc w:val="both"/>
            </w:pPr>
            <w:r>
              <w:t>Ежегодное увеличение молодых специалистов</w:t>
            </w:r>
          </w:p>
        </w:tc>
        <w:tc>
          <w:tcPr>
            <w:tcW w:w="992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Чел.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184723" w:rsidRPr="00871B59" w:rsidRDefault="00184723" w:rsidP="00861CE0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71B59">
              <w:rPr>
                <w:rFonts w:ascii="Times New Roman" w:hAnsi="Times New Roman" w:cs="Times New Roman"/>
                <w:b/>
                <w:sz w:val="24"/>
                <w:szCs w:val="24"/>
              </w:rPr>
              <w:t>одпрограмма 6 «Обеспечение реализации муниципальной программы</w:t>
            </w:r>
          </w:p>
          <w:p w:rsidR="00184723" w:rsidRPr="00871B59" w:rsidRDefault="00184723" w:rsidP="00861CE0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«Развитие муниципальной системы образования города Рубцовска» на 2015-2017 годы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184723" w:rsidRPr="00E9675E" w:rsidRDefault="00184723" w:rsidP="00861CE0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>Обеспечение психолого-педагогического сопровождения детей и родителей (законных представителей)</w:t>
            </w:r>
            <w:r>
              <w:t xml:space="preserve"> с ограниченными возможностями здоровья</w:t>
            </w:r>
          </w:p>
        </w:tc>
        <w:tc>
          <w:tcPr>
            <w:tcW w:w="992" w:type="dxa"/>
            <w:vAlign w:val="bottom"/>
          </w:tcPr>
          <w:p w:rsidR="00184723" w:rsidRDefault="00184723" w:rsidP="00861CE0">
            <w:pPr>
              <w:jc w:val="center"/>
            </w:pPr>
            <w:r>
              <w:t>да-1</w:t>
            </w:r>
          </w:p>
          <w:p w:rsidR="00184723" w:rsidRPr="00E3341D" w:rsidRDefault="00184723" w:rsidP="00861CE0">
            <w:pPr>
              <w:jc w:val="center"/>
            </w:pPr>
            <w:r>
              <w:t>нет-0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184723" w:rsidRPr="00E9675E" w:rsidRDefault="00184723" w:rsidP="00861CE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>Обеспечение организационных, организационно</w:t>
            </w:r>
            <w:r>
              <w:rPr>
                <w:lang w:eastAsia="en-US"/>
              </w:rPr>
              <w:t xml:space="preserve"> </w:t>
            </w:r>
            <w:r w:rsidRPr="00E9675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E9675E">
              <w:rPr>
                <w:lang w:eastAsia="en-US"/>
              </w:rPr>
              <w:t xml:space="preserve">технологических, технических, информационных и методологических условий для </w:t>
            </w:r>
            <w:r w:rsidRPr="00E9675E">
              <w:rPr>
                <w:lang w:eastAsia="en-US"/>
              </w:rPr>
              <w:lastRenderedPageBreak/>
              <w:t xml:space="preserve">реализации образовательного процесса </w:t>
            </w:r>
          </w:p>
        </w:tc>
        <w:tc>
          <w:tcPr>
            <w:tcW w:w="992" w:type="dxa"/>
            <w:vAlign w:val="bottom"/>
          </w:tcPr>
          <w:p w:rsidR="00184723" w:rsidRDefault="00184723" w:rsidP="00861CE0">
            <w:pPr>
              <w:jc w:val="center"/>
            </w:pPr>
            <w:r>
              <w:lastRenderedPageBreak/>
              <w:t>да-1</w:t>
            </w:r>
          </w:p>
          <w:p w:rsidR="00184723" w:rsidRPr="00E3341D" w:rsidRDefault="00184723" w:rsidP="00861CE0">
            <w:pPr>
              <w:jc w:val="center"/>
            </w:pPr>
            <w:r>
              <w:t>нет-0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  <w:tr w:rsidR="00184723" w:rsidTr="00861CE0">
        <w:tc>
          <w:tcPr>
            <w:tcW w:w="568" w:type="dxa"/>
          </w:tcPr>
          <w:p w:rsidR="00184723" w:rsidRPr="00871B59" w:rsidRDefault="00184723" w:rsidP="00861CE0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9" w:type="dxa"/>
          </w:tcPr>
          <w:p w:rsidR="00184723" w:rsidRPr="00E9675E" w:rsidRDefault="00184723" w:rsidP="00861CE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 xml:space="preserve">Обеспечение исполнения бюджета муниципального образования город </w:t>
            </w:r>
            <w:r>
              <w:rPr>
                <w:lang w:eastAsia="en-US"/>
              </w:rPr>
              <w:t>Рубцовск</w:t>
            </w:r>
            <w:r w:rsidRPr="00E9675E">
              <w:rPr>
                <w:lang w:eastAsia="en-US"/>
              </w:rPr>
              <w:t xml:space="preserve"> по подведомственным учреждениям</w:t>
            </w:r>
          </w:p>
        </w:tc>
        <w:tc>
          <w:tcPr>
            <w:tcW w:w="992" w:type="dxa"/>
            <w:vAlign w:val="bottom"/>
          </w:tcPr>
          <w:p w:rsidR="00184723" w:rsidRDefault="00184723" w:rsidP="00861CE0">
            <w:pPr>
              <w:jc w:val="center"/>
            </w:pPr>
            <w:r>
              <w:t>да-1</w:t>
            </w:r>
          </w:p>
          <w:p w:rsidR="00184723" w:rsidRPr="00E3341D" w:rsidRDefault="00184723" w:rsidP="00861CE0">
            <w:pPr>
              <w:jc w:val="center"/>
            </w:pPr>
            <w:r>
              <w:t>нет-0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184723" w:rsidRPr="00E3341D" w:rsidRDefault="00184723" w:rsidP="00861CE0">
            <w:pPr>
              <w:jc w:val="center"/>
            </w:pPr>
            <w:r>
              <w:t>100</w:t>
            </w:r>
          </w:p>
        </w:tc>
      </w:tr>
    </w:tbl>
    <w:p w:rsidR="00184723" w:rsidRDefault="00184723" w:rsidP="00184723">
      <w:pPr>
        <w:ind w:firstLine="674"/>
        <w:rPr>
          <w:sz w:val="28"/>
          <w:szCs w:val="28"/>
        </w:rPr>
      </w:pPr>
    </w:p>
    <w:p w:rsidR="00184723" w:rsidRDefault="00184723" w:rsidP="0018472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:rsidR="00184723" w:rsidRPr="004E7578" w:rsidRDefault="00184723" w:rsidP="00184723">
      <w:pPr>
        <w:autoSpaceDE w:val="0"/>
        <w:autoSpaceDN w:val="0"/>
        <w:adjustRightInd w:val="0"/>
        <w:ind w:firstLine="674"/>
        <w:rPr>
          <w:rFonts w:eastAsiaTheme="minorHAnsi"/>
          <w:sz w:val="28"/>
          <w:szCs w:val="28"/>
          <w:lang w:eastAsia="en-US"/>
        </w:rPr>
      </w:pPr>
      <w:r w:rsidRPr="004E7578">
        <w:rPr>
          <w:rFonts w:eastAsiaTheme="minorHAnsi"/>
          <w:sz w:val="28"/>
          <w:szCs w:val="28"/>
          <w:lang w:eastAsia="en-US"/>
        </w:rPr>
        <w:t>При выполнении муниципальной программы, в</w:t>
      </w:r>
      <w:r>
        <w:rPr>
          <w:rFonts w:eastAsiaTheme="minorHAnsi"/>
          <w:sz w:val="28"/>
          <w:szCs w:val="28"/>
          <w:lang w:eastAsia="en-US"/>
        </w:rPr>
        <w:t xml:space="preserve"> 2015</w:t>
      </w:r>
      <w:r w:rsidRPr="004E7578">
        <w:rPr>
          <w:rFonts w:eastAsiaTheme="minorHAnsi"/>
          <w:sz w:val="28"/>
          <w:szCs w:val="28"/>
          <w:lang w:eastAsia="en-US"/>
        </w:rPr>
        <w:t xml:space="preserve"> году были</w:t>
      </w:r>
      <w:r w:rsidRPr="00963C34">
        <w:rPr>
          <w:rFonts w:eastAsiaTheme="minorHAnsi"/>
          <w:sz w:val="28"/>
          <w:szCs w:val="28"/>
          <w:lang w:eastAsia="en-US"/>
        </w:rPr>
        <w:t xml:space="preserve"> </w:t>
      </w:r>
      <w:r w:rsidRPr="004E7578">
        <w:rPr>
          <w:rFonts w:eastAsiaTheme="minorHAnsi"/>
          <w:sz w:val="28"/>
          <w:szCs w:val="28"/>
          <w:lang w:eastAsia="en-US"/>
        </w:rPr>
        <w:t>достигнуты следующие результаты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84723" w:rsidRPr="00E04DFC" w:rsidRDefault="00184723" w:rsidP="0018472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- увеличено количество мест в дошкольных образовательных учреждениях;</w:t>
      </w:r>
    </w:p>
    <w:p w:rsidR="00184723" w:rsidRPr="004E7578" w:rsidRDefault="00184723" w:rsidP="00184723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4E7578">
        <w:rPr>
          <w:color w:val="000000"/>
          <w:sz w:val="28"/>
          <w:szCs w:val="28"/>
        </w:rPr>
        <w:t>роведены мероприятия по открытию групп дошкольного образования МАДОУ «</w:t>
      </w:r>
      <w:r w:rsidRPr="004E7578">
        <w:rPr>
          <w:sz w:val="28"/>
          <w:szCs w:val="28"/>
        </w:rPr>
        <w:t>Центр развития ребенка «Детский сад №1 «</w:t>
      </w:r>
      <w:r w:rsidRPr="004E7578">
        <w:rPr>
          <w:color w:val="000000"/>
          <w:sz w:val="28"/>
          <w:szCs w:val="28"/>
        </w:rPr>
        <w:t>Жар-птица». Производилось оснащение детского сада мебелью, медицинским и прочим оборудованием.</w:t>
      </w:r>
    </w:p>
    <w:p w:rsidR="00184723" w:rsidRPr="004E7578" w:rsidRDefault="00184723" w:rsidP="00184723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4E7578">
        <w:rPr>
          <w:color w:val="000000"/>
          <w:sz w:val="28"/>
          <w:szCs w:val="28"/>
        </w:rPr>
        <w:t>еализованы мероприятия по функционированию загородного оздоровительного лагеря «Салют», имени Титова, лагерей дневного пребывания при школах.</w:t>
      </w:r>
    </w:p>
    <w:p w:rsidR="00184723" w:rsidRDefault="00184723" w:rsidP="00184723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 w:rsidRPr="004E7578">
        <w:rPr>
          <w:color w:val="000000"/>
          <w:sz w:val="28"/>
          <w:szCs w:val="28"/>
        </w:rPr>
        <w:t>беспечена выплата заработной платы в соответствии с Указами Президента от 07.12.2012 и обеспечивалось создание условий для текущей деятельности учреждений.</w:t>
      </w:r>
    </w:p>
    <w:p w:rsidR="00184723" w:rsidRDefault="00184723" w:rsidP="001847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еализация мероприятий, способствующих решению кадровых проблем;</w:t>
      </w:r>
    </w:p>
    <w:p w:rsidR="00184723" w:rsidRDefault="00184723" w:rsidP="001847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создание системы целевой курсовой подготовки педагогических и руководящих работников образовательных учреждений;</w:t>
      </w:r>
    </w:p>
    <w:p w:rsidR="00184723" w:rsidRPr="00E04DFC" w:rsidRDefault="00184723" w:rsidP="0018472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участие в конкурсах и соревнованиях различных уровней. Растет число победителей и призеров в федеральных, международных и краевых творческих конкурсах.</w:t>
      </w:r>
    </w:p>
    <w:p w:rsidR="00184723" w:rsidRDefault="00184723" w:rsidP="00184723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Pr="004E7578">
        <w:rPr>
          <w:color w:val="000000"/>
          <w:sz w:val="28"/>
          <w:szCs w:val="28"/>
        </w:rPr>
        <w:t xml:space="preserve"> 2015 году финансировались работы по обеспеч</w:t>
      </w:r>
      <w:r>
        <w:rPr>
          <w:color w:val="000000"/>
          <w:sz w:val="28"/>
          <w:szCs w:val="28"/>
        </w:rPr>
        <w:t>ению учащихся льготным питанием.</w:t>
      </w:r>
      <w:r w:rsidRPr="004E7578">
        <w:rPr>
          <w:color w:val="000000"/>
          <w:sz w:val="28"/>
          <w:szCs w:val="28"/>
        </w:rPr>
        <w:t xml:space="preserve"> </w:t>
      </w:r>
    </w:p>
    <w:p w:rsidR="00184723" w:rsidRPr="004E7578" w:rsidRDefault="00184723" w:rsidP="0018472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 w:rsidRPr="004E7578">
        <w:rPr>
          <w:sz w:val="28"/>
          <w:szCs w:val="28"/>
        </w:rPr>
        <w:t>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</w:t>
      </w:r>
      <w:r>
        <w:rPr>
          <w:sz w:val="28"/>
          <w:szCs w:val="28"/>
        </w:rPr>
        <w:t>.</w:t>
      </w:r>
    </w:p>
    <w:p w:rsidR="00184723" w:rsidRPr="00F6343F" w:rsidRDefault="00184723" w:rsidP="001847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343F">
        <w:rPr>
          <w:rFonts w:eastAsiaTheme="minorHAnsi"/>
          <w:sz w:val="28"/>
          <w:szCs w:val="28"/>
          <w:lang w:eastAsia="en-US"/>
        </w:rPr>
        <w:t>Достижение значений целевых показателей по данным мероприятиям и,</w:t>
      </w:r>
    </w:p>
    <w:p w:rsidR="00184723" w:rsidRPr="00F6343F" w:rsidRDefault="00184723" w:rsidP="001847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343F">
        <w:rPr>
          <w:rFonts w:eastAsiaTheme="minorHAnsi"/>
          <w:sz w:val="28"/>
          <w:szCs w:val="28"/>
          <w:lang w:eastAsia="en-US"/>
        </w:rPr>
        <w:t>соответственно, достижение ожидаемых запланированных результатов по программе в целом, стало возможным благодаря использованию внешних</w:t>
      </w:r>
    </w:p>
    <w:p w:rsidR="00184723" w:rsidRPr="00963C34" w:rsidRDefault="00184723" w:rsidP="001847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43F">
        <w:rPr>
          <w:rFonts w:eastAsiaTheme="minorHAnsi"/>
          <w:sz w:val="28"/>
          <w:szCs w:val="28"/>
          <w:lang w:eastAsia="en-US"/>
        </w:rPr>
        <w:t xml:space="preserve">ресурсов. </w:t>
      </w:r>
    </w:p>
    <w:p w:rsidR="00184723" w:rsidRDefault="00184723" w:rsidP="00184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система образования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пребывании в образовательных организациях.</w:t>
      </w:r>
    </w:p>
    <w:p w:rsidR="00184723" w:rsidRDefault="00184723" w:rsidP="0018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реализации Программы, можно сделать вывод, что согласно методике оценки  эффективность Программы составляет 94,3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%. Это является высоким уровнем эффективности.</w:t>
      </w:r>
    </w:p>
    <w:p w:rsidR="00184723" w:rsidRDefault="00184723" w:rsidP="00184723">
      <w:pPr>
        <w:jc w:val="both"/>
        <w:rPr>
          <w:sz w:val="28"/>
          <w:szCs w:val="28"/>
        </w:rPr>
      </w:pPr>
    </w:p>
    <w:p w:rsidR="00184723" w:rsidRPr="00BC5D76" w:rsidRDefault="00184723" w:rsidP="00184723">
      <w:pPr>
        <w:jc w:val="both"/>
        <w:rPr>
          <w:sz w:val="28"/>
          <w:szCs w:val="28"/>
        </w:rPr>
      </w:pPr>
    </w:p>
    <w:p w:rsidR="00184723" w:rsidRDefault="00184723" w:rsidP="001847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4723" w:rsidRDefault="00184723" w:rsidP="001847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4723" w:rsidRDefault="00184723" w:rsidP="001847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4723" w:rsidRDefault="00184723" w:rsidP="001847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4723" w:rsidRDefault="00184723" w:rsidP="001847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МКУ «Управление </w:t>
      </w:r>
    </w:p>
    <w:p w:rsidR="00A9187C" w:rsidRDefault="00184723" w:rsidP="00184723">
      <w:r>
        <w:rPr>
          <w:sz w:val="28"/>
          <w:szCs w:val="28"/>
        </w:rPr>
        <w:t>образования»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</w:t>
      </w:r>
      <w:r>
        <w:rPr>
          <w:sz w:val="28"/>
          <w:szCs w:val="28"/>
        </w:rPr>
        <w:tab/>
        <w:t xml:space="preserve">                                                А.А. </w:t>
      </w:r>
      <w:proofErr w:type="spellStart"/>
      <w:r>
        <w:rPr>
          <w:sz w:val="28"/>
          <w:szCs w:val="28"/>
        </w:rPr>
        <w:t>Мищерин</w:t>
      </w:r>
      <w:proofErr w:type="spellEnd"/>
    </w:p>
    <w:sectPr w:rsidR="00A9187C" w:rsidSect="0018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4723"/>
    <w:rsid w:val="00184723"/>
    <w:rsid w:val="00A9187C"/>
    <w:rsid w:val="00DB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23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472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84723"/>
    <w:pPr>
      <w:widowControl w:val="0"/>
      <w:autoSpaceDE w:val="0"/>
      <w:autoSpaceDN w:val="0"/>
      <w:adjustRightInd w:val="0"/>
      <w:spacing w:before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2016-04-28T07:00:00Z</dcterms:created>
  <dcterms:modified xsi:type="dcterms:W3CDTF">2016-04-28T07:04:00Z</dcterms:modified>
</cp:coreProperties>
</file>