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9205E6" w:rsidRDefault="00760DF8" w:rsidP="00DE53D9">
      <w:pPr>
        <w:spacing w:after="0" w:line="240" w:lineRule="auto"/>
        <w:jc w:val="center"/>
        <w:rPr>
          <w:rFonts w:ascii="Times New Roman" w:hAnsi="Times New Roman" w:cs="Times New Roman"/>
          <w:sz w:val="24"/>
          <w:szCs w:val="24"/>
        </w:rPr>
      </w:pPr>
      <w:r w:rsidRPr="000F0B13">
        <w:rPr>
          <w:rFonts w:ascii="Times New Roman" w:hAnsi="Times New Roman" w:cs="Times New Roman"/>
          <w:sz w:val="24"/>
          <w:szCs w:val="24"/>
        </w:rPr>
        <w:t>Идентификационный код закупки -</w:t>
      </w:r>
      <w:r w:rsidR="00FD0930">
        <w:rPr>
          <w:rFonts w:ascii="Times New Roman" w:hAnsi="Times New Roman" w:cs="Times New Roman"/>
          <w:sz w:val="24"/>
          <w:szCs w:val="24"/>
        </w:rPr>
        <w:t xml:space="preserve"> </w:t>
      </w:r>
      <w:r w:rsidR="00FD0930" w:rsidRPr="00FD0930">
        <w:rPr>
          <w:rFonts w:ascii="Times New Roman" w:hAnsi="Times New Roman" w:cs="Times New Roman"/>
          <w:sz w:val="24"/>
          <w:szCs w:val="24"/>
        </w:rPr>
        <w:t>183220901107922090100100710714120244</w:t>
      </w:r>
    </w:p>
    <w:p w:rsidR="00DE53D9" w:rsidRDefault="00DE53D9" w:rsidP="00DE53D9">
      <w:pPr>
        <w:spacing w:after="0" w:line="240" w:lineRule="auto"/>
        <w:jc w:val="center"/>
        <w:rPr>
          <w:rFonts w:ascii="Times New Roman" w:hAnsi="Times New Roman" w:cs="Times New Roman"/>
          <w:sz w:val="24"/>
          <w:szCs w:val="24"/>
        </w:rPr>
      </w:pPr>
    </w:p>
    <w:p w:rsidR="00AA6ABA" w:rsidRPr="00AA6ABA" w:rsidRDefault="00AA6ABA" w:rsidP="00DE53D9">
      <w:pPr>
        <w:spacing w:after="0" w:line="240" w:lineRule="auto"/>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DE53D9">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EB66CE">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 xml:space="preserve">выполнить  </w:t>
      </w:r>
      <w:r w:rsidR="00444D2D" w:rsidRPr="00444D2D">
        <w:rPr>
          <w:rFonts w:ascii="Times New Roman" w:hAnsi="Times New Roman" w:cs="Times New Roman"/>
          <w:bCs/>
          <w:sz w:val="24"/>
          <w:szCs w:val="24"/>
        </w:rPr>
        <w:t>работы по капитальному ремонту муниципального помещения №</w:t>
      </w:r>
      <w:r w:rsidR="00FF39EB">
        <w:rPr>
          <w:rFonts w:ascii="Times New Roman" w:hAnsi="Times New Roman" w:cs="Times New Roman"/>
          <w:bCs/>
          <w:sz w:val="24"/>
          <w:szCs w:val="24"/>
        </w:rPr>
        <w:t xml:space="preserve"> </w:t>
      </w:r>
      <w:r w:rsidR="002753C8">
        <w:rPr>
          <w:rFonts w:ascii="Times New Roman" w:hAnsi="Times New Roman" w:cs="Times New Roman"/>
          <w:bCs/>
          <w:sz w:val="24"/>
          <w:szCs w:val="24"/>
        </w:rPr>
        <w:t>23</w:t>
      </w:r>
      <w:r w:rsidR="00444D2D" w:rsidRPr="00444D2D">
        <w:rPr>
          <w:rFonts w:ascii="Times New Roman" w:hAnsi="Times New Roman" w:cs="Times New Roman"/>
          <w:bCs/>
          <w:sz w:val="24"/>
          <w:szCs w:val="24"/>
        </w:rPr>
        <w:t xml:space="preserve"> в многоквартирном доме №</w:t>
      </w:r>
      <w:r w:rsidR="00FF39EB">
        <w:rPr>
          <w:rFonts w:ascii="Times New Roman" w:hAnsi="Times New Roman" w:cs="Times New Roman"/>
          <w:bCs/>
          <w:sz w:val="24"/>
          <w:szCs w:val="24"/>
        </w:rPr>
        <w:t xml:space="preserve"> </w:t>
      </w:r>
      <w:r w:rsidR="002753C8">
        <w:rPr>
          <w:rFonts w:ascii="Times New Roman" w:hAnsi="Times New Roman" w:cs="Times New Roman"/>
          <w:bCs/>
          <w:sz w:val="24"/>
          <w:szCs w:val="24"/>
        </w:rPr>
        <w:t>6</w:t>
      </w:r>
      <w:r w:rsidR="00444D2D" w:rsidRPr="00444D2D">
        <w:rPr>
          <w:rFonts w:ascii="Times New Roman" w:hAnsi="Times New Roman" w:cs="Times New Roman"/>
          <w:bCs/>
          <w:sz w:val="24"/>
          <w:szCs w:val="24"/>
        </w:rPr>
        <w:t xml:space="preserve"> по </w:t>
      </w:r>
      <w:r w:rsidR="002753C8">
        <w:rPr>
          <w:rFonts w:ascii="Times New Roman" w:hAnsi="Times New Roman" w:cs="Times New Roman"/>
          <w:bCs/>
          <w:sz w:val="24"/>
          <w:szCs w:val="24"/>
        </w:rPr>
        <w:t>ул.</w:t>
      </w:r>
      <w:r w:rsidR="00444D2D" w:rsidRPr="00444D2D">
        <w:rPr>
          <w:rFonts w:ascii="Times New Roman" w:hAnsi="Times New Roman" w:cs="Times New Roman"/>
          <w:bCs/>
          <w:sz w:val="24"/>
          <w:szCs w:val="24"/>
        </w:rPr>
        <w:t xml:space="preserve"> </w:t>
      </w:r>
      <w:r w:rsidR="002753C8">
        <w:rPr>
          <w:rFonts w:ascii="Times New Roman" w:hAnsi="Times New Roman" w:cs="Times New Roman"/>
          <w:bCs/>
          <w:sz w:val="24"/>
          <w:szCs w:val="24"/>
        </w:rPr>
        <w:t>Киевской</w:t>
      </w:r>
      <w:r w:rsidR="00444D2D" w:rsidRPr="00444D2D">
        <w:rPr>
          <w:rFonts w:ascii="Times New Roman" w:hAnsi="Times New Roman" w:cs="Times New Roman"/>
          <w:bCs/>
          <w:sz w:val="24"/>
          <w:szCs w:val="24"/>
        </w:rPr>
        <w:t xml:space="preserve"> в городе Рубцовске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EB66CE">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w:t>
      </w:r>
      <w:r w:rsidR="003A3FFC">
        <w:rPr>
          <w:rFonts w:ascii="Times New Roman" w:hAnsi="Times New Roman" w:cs="Times New Roman"/>
          <w:sz w:val="24"/>
          <w:szCs w:val="24"/>
        </w:rPr>
        <w:t>тав и объем работ определяется П</w:t>
      </w:r>
      <w:r w:rsidRPr="00AA6ABA">
        <w:rPr>
          <w:rFonts w:ascii="Times New Roman" w:hAnsi="Times New Roman" w:cs="Times New Roman"/>
          <w:sz w:val="24"/>
          <w:szCs w:val="24"/>
        </w:rPr>
        <w:t>риложениями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1;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2  к настоящему Контракту.</w:t>
      </w:r>
    </w:p>
    <w:p w:rsidR="00A943C5" w:rsidRDefault="000F0B13" w:rsidP="00A943C5">
      <w:pPr>
        <w:keepLines/>
        <w:widowControl w:val="0"/>
        <w:suppressLineNumbers/>
        <w:suppressAutoHyphens/>
        <w:spacing w:after="0"/>
        <w:jc w:val="both"/>
        <w:rPr>
          <w:rStyle w:val="FontStyle51"/>
          <w:sz w:val="24"/>
          <w:szCs w:val="24"/>
        </w:rPr>
      </w:pPr>
      <w:r>
        <w:rPr>
          <w:rFonts w:ascii="Times New Roman" w:hAnsi="Times New Roman" w:cs="Times New Roman"/>
          <w:sz w:val="24"/>
          <w:szCs w:val="24"/>
        </w:rPr>
        <w:t xml:space="preserve">1.3. </w:t>
      </w:r>
      <w:r w:rsidR="00AA6ABA"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00AA6ABA" w:rsidRPr="00AA6ABA">
        <w:rPr>
          <w:rFonts w:ascii="Times New Roman" w:hAnsi="Times New Roman" w:cs="Times New Roman"/>
          <w:sz w:val="24"/>
          <w:szCs w:val="24"/>
        </w:rPr>
        <w:t>г</w:t>
      </w:r>
      <w:proofErr w:type="gramEnd"/>
      <w:r w:rsidR="00AA6ABA" w:rsidRPr="00AA6ABA">
        <w:rPr>
          <w:rFonts w:ascii="Times New Roman" w:hAnsi="Times New Roman" w:cs="Times New Roman"/>
          <w:sz w:val="24"/>
          <w:szCs w:val="24"/>
        </w:rPr>
        <w:t xml:space="preserve">. Рубцовск, </w:t>
      </w:r>
      <w:r w:rsidR="00A943C5" w:rsidRPr="0076442E">
        <w:rPr>
          <w:rStyle w:val="FontStyle51"/>
          <w:sz w:val="24"/>
          <w:szCs w:val="24"/>
        </w:rPr>
        <w:t>ул. К</w:t>
      </w:r>
      <w:r w:rsidR="00A943C5">
        <w:rPr>
          <w:rStyle w:val="FontStyle51"/>
          <w:sz w:val="24"/>
          <w:szCs w:val="24"/>
        </w:rPr>
        <w:t>иевская</w:t>
      </w:r>
      <w:r w:rsidR="00A943C5" w:rsidRPr="0076442E">
        <w:rPr>
          <w:rStyle w:val="FontStyle51"/>
          <w:sz w:val="24"/>
          <w:szCs w:val="24"/>
        </w:rPr>
        <w:t>,  №</w:t>
      </w:r>
      <w:r w:rsidR="00A943C5">
        <w:rPr>
          <w:rStyle w:val="FontStyle51"/>
          <w:sz w:val="24"/>
          <w:szCs w:val="24"/>
        </w:rPr>
        <w:t>6,</w:t>
      </w:r>
      <w:r w:rsidR="00A943C5" w:rsidRPr="0076442E">
        <w:rPr>
          <w:rStyle w:val="FontStyle51"/>
          <w:sz w:val="24"/>
          <w:szCs w:val="24"/>
        </w:rPr>
        <w:t xml:space="preserve"> помещение № </w:t>
      </w:r>
      <w:r w:rsidR="00A943C5">
        <w:rPr>
          <w:rStyle w:val="FontStyle51"/>
          <w:sz w:val="24"/>
          <w:szCs w:val="24"/>
        </w:rPr>
        <w:t>23.</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D4011">
        <w:rPr>
          <w:rFonts w:ascii="Times New Roman" w:hAnsi="Times New Roman" w:cs="Times New Roman"/>
          <w:sz w:val="24"/>
          <w:szCs w:val="24"/>
        </w:rPr>
        <w:t>1</w:t>
      </w:r>
      <w:r w:rsidRPr="00AA6ABA">
        <w:rPr>
          <w:rFonts w:ascii="Times New Roman" w:hAnsi="Times New Roman" w:cs="Times New Roman"/>
          <w:sz w:val="24"/>
          <w:szCs w:val="24"/>
        </w:rPr>
        <w:t>5 (пят</w:t>
      </w:r>
      <w:r w:rsidR="003D4011">
        <w:rPr>
          <w:rFonts w:ascii="Times New Roman" w:hAnsi="Times New Roman" w:cs="Times New Roman"/>
          <w:sz w:val="24"/>
          <w:szCs w:val="24"/>
        </w:rPr>
        <w:t>надцати</w:t>
      </w:r>
      <w:r w:rsidRPr="00AA6ABA">
        <w:rPr>
          <w:rFonts w:ascii="Times New Roman" w:hAnsi="Times New Roman" w:cs="Times New Roman"/>
          <w:sz w:val="24"/>
          <w:szCs w:val="24"/>
        </w:rPr>
        <w:t xml:space="preserve">) дней со дня поступления Заказчику от Подрядчика </w:t>
      </w:r>
      <w:r w:rsidRPr="00AA6ABA">
        <w:rPr>
          <w:rFonts w:ascii="Times New Roman" w:hAnsi="Times New Roman" w:cs="Times New Roman"/>
          <w:sz w:val="24"/>
          <w:szCs w:val="24"/>
        </w:rPr>
        <w:lastRenderedPageBreak/>
        <w:t>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AA6ABA">
        <w:rPr>
          <w:rFonts w:ascii="Times New Roman" w:hAnsi="Times New Roman" w:cs="Times New Roman"/>
          <w:sz w:val="24"/>
          <w:szCs w:val="24"/>
        </w:rPr>
        <w:t xml:space="preserve">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В случае подписания Сторонами акта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AA6ABA">
        <w:rPr>
          <w:rFonts w:ascii="Times New Roman" w:hAnsi="Times New Roman" w:cs="Times New Roman"/>
          <w:sz w:val="24"/>
          <w:szCs w:val="24"/>
        </w:rPr>
        <w:t>согласно</w:t>
      </w:r>
      <w:proofErr w:type="gramEnd"/>
      <w:r w:rsidRPr="00AA6ABA">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w:t>
      </w:r>
      <w:proofErr w:type="gramStart"/>
      <w:r w:rsidRPr="00AA6ABA">
        <w:rPr>
          <w:rFonts w:ascii="Times New Roman" w:hAnsi="Times New Roman" w:cs="Times New Roman"/>
          <w:sz w:val="24"/>
          <w:szCs w:val="24"/>
        </w:rPr>
        <w:t>ств др</w:t>
      </w:r>
      <w:proofErr w:type="gramEnd"/>
      <w:r w:rsidRPr="00AA6ABA">
        <w:rPr>
          <w:rFonts w:ascii="Times New Roman" w:hAnsi="Times New Roman" w:cs="Times New Roman"/>
          <w:sz w:val="24"/>
          <w:szCs w:val="24"/>
        </w:rPr>
        <w:t>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AA6ABA">
        <w:rPr>
          <w:rFonts w:ascii="Times New Roman" w:hAnsi="Times New Roman" w:cs="Times New Roman"/>
          <w:sz w:val="24"/>
          <w:szCs w:val="24"/>
        </w:rPr>
        <w:t>внутриобъектовый</w:t>
      </w:r>
      <w:proofErr w:type="spellEnd"/>
      <w:r w:rsidRPr="00AA6ABA">
        <w:rPr>
          <w:rFonts w:ascii="Times New Roman" w:hAnsi="Times New Roman" w:cs="Times New Roman"/>
          <w:sz w:val="24"/>
          <w:szCs w:val="24"/>
        </w:rPr>
        <w:t xml:space="preserve">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w:t>
      </w:r>
      <w:proofErr w:type="gramStart"/>
      <w:r w:rsidRPr="00AA6ABA">
        <w:rPr>
          <w:rFonts w:ascii="Times New Roman" w:hAnsi="Times New Roman" w:cs="Times New Roman"/>
          <w:sz w:val="24"/>
          <w:szCs w:val="24"/>
        </w:rPr>
        <w:t xml:space="preserve">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w:t>
      </w:r>
      <w:r w:rsidR="003A3FFC">
        <w:rPr>
          <w:rFonts w:ascii="Times New Roman" w:hAnsi="Times New Roman" w:cs="Times New Roman"/>
          <w:sz w:val="24"/>
          <w:szCs w:val="24"/>
        </w:rPr>
        <w:t>К</w:t>
      </w:r>
      <w:r w:rsidRPr="00AA6ABA">
        <w:rPr>
          <w:rFonts w:ascii="Times New Roman" w:hAnsi="Times New Roman" w:cs="Times New Roman"/>
          <w:sz w:val="24"/>
          <w:szCs w:val="24"/>
        </w:rPr>
        <w:t>онтракта</w:t>
      </w:r>
      <w:r w:rsidR="0040766B">
        <w:rPr>
          <w:rFonts w:ascii="Times New Roman" w:hAnsi="Times New Roman" w:cs="Times New Roman"/>
          <w:sz w:val="24"/>
          <w:szCs w:val="24"/>
        </w:rPr>
        <w:t xml:space="preserve"> </w:t>
      </w:r>
      <w:r w:rsidR="003A3FFC">
        <w:rPr>
          <w:rFonts w:ascii="Times New Roman" w:hAnsi="Times New Roman" w:cs="Times New Roman"/>
          <w:sz w:val="24"/>
          <w:szCs w:val="24"/>
        </w:rPr>
        <w:t xml:space="preserve">и выполняет их </w:t>
      </w:r>
      <w:r w:rsidR="00444D2D" w:rsidRPr="00444D2D">
        <w:rPr>
          <w:rFonts w:ascii="Times New Roman" w:hAnsi="Times New Roman" w:cs="Times New Roman"/>
          <w:sz w:val="24"/>
          <w:szCs w:val="24"/>
        </w:rPr>
        <w:t xml:space="preserve">в течение </w:t>
      </w:r>
      <w:r w:rsidR="00444D2D">
        <w:rPr>
          <w:rFonts w:ascii="Times New Roman" w:hAnsi="Times New Roman" w:cs="Times New Roman"/>
          <w:sz w:val="24"/>
          <w:szCs w:val="24"/>
        </w:rPr>
        <w:t>45 (</w:t>
      </w:r>
      <w:r w:rsidR="00444D2D" w:rsidRPr="00444D2D">
        <w:rPr>
          <w:rFonts w:ascii="Times New Roman" w:hAnsi="Times New Roman" w:cs="Times New Roman"/>
          <w:sz w:val="24"/>
          <w:szCs w:val="24"/>
        </w:rPr>
        <w:t>сорока пяти</w:t>
      </w:r>
      <w:r w:rsidR="00444D2D">
        <w:rPr>
          <w:rFonts w:ascii="Times New Roman" w:hAnsi="Times New Roman" w:cs="Times New Roman"/>
          <w:sz w:val="24"/>
          <w:szCs w:val="24"/>
        </w:rPr>
        <w:t>)</w:t>
      </w:r>
      <w:r w:rsidR="00444D2D" w:rsidRPr="00444D2D">
        <w:rPr>
          <w:rFonts w:ascii="Times New Roman" w:hAnsi="Times New Roman" w:cs="Times New Roman"/>
          <w:sz w:val="24"/>
          <w:szCs w:val="24"/>
        </w:rPr>
        <w:t xml:space="preserve"> календарных дней</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5.1. </w:t>
      </w:r>
      <w:r w:rsidRPr="009205E6">
        <w:rPr>
          <w:rFonts w:ascii="Times New Roman" w:eastAsia="Times New Roman" w:hAnsi="Times New Roman" w:cs="Times New Roman"/>
          <w:sz w:val="24"/>
          <w:szCs w:val="24"/>
        </w:rPr>
        <w:t xml:space="preserve">Работы принимаются Заказчиком в следующем порядке: </w:t>
      </w:r>
    </w:p>
    <w:p w:rsidR="009205E6" w:rsidRPr="009205E6" w:rsidRDefault="009205E6" w:rsidP="009205E6">
      <w:pPr>
        <w:shd w:val="clear" w:color="auto" w:fill="FFFFFF"/>
        <w:tabs>
          <w:tab w:val="left" w:pos="70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5.1.1.</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Не позднее одного рабочего дня после дня окончания выполнения работ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течение </w:t>
      </w:r>
      <w:r w:rsidR="00560476">
        <w:rPr>
          <w:rFonts w:ascii="Times New Roman" w:eastAsia="Times New Roman" w:hAnsi="Times New Roman" w:cs="Times New Roman"/>
          <w:sz w:val="24"/>
          <w:szCs w:val="24"/>
        </w:rPr>
        <w:t>20 (двадцати)</w:t>
      </w:r>
      <w:r w:rsidRPr="009205E6">
        <w:rPr>
          <w:rFonts w:ascii="Times New Roman" w:eastAsia="Times New Roman" w:hAnsi="Times New Roman" w:cs="Times New Roman"/>
          <w:sz w:val="24"/>
          <w:szCs w:val="24"/>
        </w:rPr>
        <w:t xml:space="preserve"> рабочих дней после получения от </w:t>
      </w:r>
      <w:r>
        <w:rPr>
          <w:rFonts w:ascii="Times New Roman" w:hAnsi="Times New Roman" w:cs="Times New Roman"/>
          <w:sz w:val="24"/>
          <w:szCs w:val="24"/>
        </w:rPr>
        <w:t>Подрядчика</w:t>
      </w:r>
      <w:r w:rsidRPr="009205E6">
        <w:rPr>
          <w:rFonts w:ascii="Times New Roman" w:eastAsia="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случае если у Заказчика имеются претензии к работам (к их качеству, объему и т.д.), Заказчик, вправе задержать подписание акта и направить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претензию о выявленных недостатках, в котором указываются, в том числе, недостатки работ, а также порядок и сроки их устранения.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При получении претензии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обязан в указанные сроки устранить недостатки своими силами и за свой счет и </w:t>
      </w:r>
      <w:proofErr w:type="gramStart"/>
      <w:r w:rsidRPr="009205E6">
        <w:rPr>
          <w:rFonts w:ascii="Times New Roman" w:eastAsia="Times New Roman" w:hAnsi="Times New Roman" w:cs="Times New Roman"/>
          <w:sz w:val="24"/>
          <w:szCs w:val="24"/>
        </w:rPr>
        <w:t>предоставить Заказчику доказательства</w:t>
      </w:r>
      <w:proofErr w:type="gramEnd"/>
      <w:r w:rsidRPr="009205E6">
        <w:rPr>
          <w:rFonts w:ascii="Times New Roman" w:eastAsia="Times New Roman" w:hAnsi="Times New Roman" w:cs="Times New Roman"/>
          <w:sz w:val="24"/>
          <w:szCs w:val="24"/>
        </w:rPr>
        <w:t xml:space="preserve"> устранения недостатков.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5.1.5.</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В случае</w:t>
      </w:r>
      <w:proofErr w:type="gramStart"/>
      <w:r w:rsidRPr="009205E6">
        <w:rPr>
          <w:rFonts w:ascii="Times New Roman" w:eastAsia="Times New Roman" w:hAnsi="Times New Roman" w:cs="Times New Roman"/>
          <w:sz w:val="24"/>
          <w:szCs w:val="24"/>
        </w:rPr>
        <w:t>,</w:t>
      </w:r>
      <w:proofErr w:type="gramEnd"/>
      <w:r w:rsidRPr="009205E6">
        <w:rPr>
          <w:rFonts w:ascii="Times New Roman" w:eastAsia="Times New Roman" w:hAnsi="Times New Roman" w:cs="Times New Roman"/>
          <w:sz w:val="24"/>
          <w:szCs w:val="24"/>
        </w:rPr>
        <w:t xml:space="preserve"> если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не выполнил (несвоевременно выполнил) обязанно</w:t>
      </w:r>
      <w:r>
        <w:rPr>
          <w:rFonts w:ascii="Times New Roman" w:hAnsi="Times New Roman" w:cs="Times New Roman"/>
          <w:sz w:val="24"/>
          <w:szCs w:val="24"/>
        </w:rPr>
        <w:t>сти, предусмотренные п. 5.1.4. К</w:t>
      </w:r>
      <w:r w:rsidRPr="009205E6">
        <w:rPr>
          <w:rFonts w:ascii="Times New Roman" w:eastAsia="Times New Roman" w:hAnsi="Times New Roman" w:cs="Times New Roman"/>
          <w:sz w:val="24"/>
          <w:szCs w:val="24"/>
        </w:rPr>
        <w:t xml:space="preserve">онтракта, Заказчик вправе применить к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один из видов ответственности, предусмотренных р</w:t>
      </w:r>
      <w:r>
        <w:rPr>
          <w:rFonts w:ascii="Times New Roman" w:hAnsi="Times New Roman" w:cs="Times New Roman"/>
          <w:sz w:val="24"/>
          <w:szCs w:val="24"/>
        </w:rPr>
        <w:t>азделом 7 К</w:t>
      </w:r>
      <w:r w:rsidRPr="009205E6">
        <w:rPr>
          <w:rFonts w:ascii="Times New Roman" w:eastAsia="Times New Roman" w:hAnsi="Times New Roman" w:cs="Times New Roman"/>
          <w:sz w:val="24"/>
          <w:szCs w:val="24"/>
        </w:rPr>
        <w:t>онтракта.</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Порядок приемки работ, предусмотренный настоящим разделом, применяется к каждому из этапов выполнения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lastRenderedPageBreak/>
        <w:t>5.3.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9205E6" w:rsidRPr="009205E6" w:rsidRDefault="009205E6" w:rsidP="009205E6">
      <w:pPr>
        <w:spacing w:after="0" w:line="240" w:lineRule="auto"/>
        <w:jc w:val="both"/>
        <w:rPr>
          <w:rFonts w:ascii="Times New Roman" w:eastAsia="Times New Roman" w:hAnsi="Times New Roman" w:cs="Times New Roman"/>
          <w:b/>
          <w:sz w:val="24"/>
          <w:szCs w:val="24"/>
        </w:rPr>
      </w:pPr>
      <w:r w:rsidRPr="009205E6">
        <w:rPr>
          <w:rFonts w:ascii="Times New Roman" w:eastAsia="Times New Roman" w:hAnsi="Times New Roman" w:cs="Times New Roman"/>
          <w:sz w:val="24"/>
          <w:szCs w:val="24"/>
        </w:rPr>
        <w:t>5.4.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Работы считаются принятыми  только после подписания всеми Сторонами акта сдачи-приемки работ.</w:t>
      </w:r>
      <w:r w:rsidRPr="009205E6">
        <w:rPr>
          <w:rFonts w:ascii="Times New Roman" w:eastAsia="Times New Roman" w:hAnsi="Times New Roman" w:cs="Times New Roman"/>
          <w:b/>
          <w:sz w:val="24"/>
          <w:szCs w:val="24"/>
        </w:rPr>
        <w:t xml:space="preserve"> </w:t>
      </w:r>
    </w:p>
    <w:p w:rsidR="00435179" w:rsidRPr="00E44F8B" w:rsidRDefault="00435179" w:rsidP="00435179">
      <w:pPr>
        <w:spacing w:after="0" w:line="240" w:lineRule="auto"/>
        <w:jc w:val="both"/>
        <w:rPr>
          <w:rFonts w:ascii="Times New Roman" w:eastAsia="Times New Roman" w:hAnsi="Times New Roman" w:cs="Times New Roman"/>
          <w:sz w:val="24"/>
          <w:szCs w:val="24"/>
        </w:rPr>
      </w:pPr>
      <w:r w:rsidRPr="00E44F8B">
        <w:rPr>
          <w:rFonts w:ascii="Times New Roman" w:eastAsia="Times New Roman" w:hAnsi="Times New Roman" w:cs="Times New Roman"/>
          <w:sz w:val="24"/>
          <w:szCs w:val="24"/>
        </w:rPr>
        <w:t xml:space="preserve">5.5. Гарантии качества выполненных работ предоставляются на срок 12 месяцев с момента подписания сторонами акта </w:t>
      </w:r>
      <w:r w:rsidRPr="009205E6">
        <w:rPr>
          <w:rFonts w:ascii="Times New Roman" w:eastAsia="Times New Roman" w:hAnsi="Times New Roman" w:cs="Times New Roman"/>
          <w:sz w:val="24"/>
          <w:szCs w:val="24"/>
        </w:rPr>
        <w:t>сдачи-приемки</w:t>
      </w:r>
      <w:r w:rsidRPr="00E44F8B">
        <w:rPr>
          <w:rFonts w:ascii="Times New Roman" w:eastAsia="Times New Roman" w:hAnsi="Times New Roman" w:cs="Times New Roman"/>
          <w:sz w:val="24"/>
          <w:szCs w:val="24"/>
        </w:rPr>
        <w:t xml:space="preserve">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0F0B1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Default="00FD4B72" w:rsidP="00A943C5">
      <w:pPr>
        <w:pStyle w:val="Style27"/>
        <w:widowControl/>
        <w:tabs>
          <w:tab w:val="left" w:pos="1085"/>
          <w:tab w:val="left" w:leader="underscore" w:pos="8957"/>
        </w:tabs>
        <w:spacing w:line="322" w:lineRule="exact"/>
        <w:ind w:firstLine="0"/>
        <w:rPr>
          <w:kern w:val="16"/>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A943C5">
        <w:rPr>
          <w:spacing w:val="-10"/>
        </w:rPr>
        <w:t>1</w:t>
      </w:r>
      <w:r w:rsidR="00A943C5" w:rsidRPr="00A943C5">
        <w:rPr>
          <w:rStyle w:val="FontStyle51"/>
          <w:b/>
          <w:sz w:val="24"/>
          <w:szCs w:val="24"/>
        </w:rPr>
        <w:t>9 982 (девятнадцать девятьсот восемьдесят два) рубля 35 копеек</w:t>
      </w:r>
      <w:r w:rsidRPr="0065117F">
        <w:rPr>
          <w:spacing w:val="-10"/>
        </w:rPr>
        <w:t xml:space="preserve"> </w:t>
      </w:r>
      <w:r w:rsidRPr="0065117F">
        <w:rPr>
          <w:kern w:val="16"/>
        </w:rPr>
        <w:t>(</w:t>
      </w:r>
      <w:r w:rsidR="009205E6">
        <w:rPr>
          <w:kern w:val="16"/>
        </w:rPr>
        <w:t>5</w:t>
      </w:r>
      <w:r w:rsidRPr="0065117F">
        <w:rPr>
          <w:kern w:val="16"/>
        </w:rPr>
        <w:t xml:space="preserve"> % процентов начальной (максимальной) цены контракта).</w:t>
      </w:r>
    </w:p>
    <w:p w:rsidR="00192F75" w:rsidRPr="00192F75" w:rsidRDefault="00192F75" w:rsidP="000F0B13">
      <w:pPr>
        <w:autoSpaceDE w:val="0"/>
        <w:autoSpaceDN w:val="0"/>
        <w:adjustRightInd w:val="0"/>
        <w:spacing w:after="0" w:line="240" w:lineRule="auto"/>
        <w:ind w:firstLine="708"/>
        <w:jc w:val="both"/>
        <w:rPr>
          <w:rFonts w:ascii="Times New Roman" w:hAnsi="Times New Roman"/>
          <w:b/>
          <w:spacing w:val="-10"/>
          <w:sz w:val="24"/>
          <w:szCs w:val="24"/>
        </w:rPr>
      </w:pPr>
      <w:proofErr w:type="gramStart"/>
      <w:r w:rsidRPr="00166330">
        <w:rPr>
          <w:rFonts w:ascii="Times New Roman" w:hAnsi="Times New Roman"/>
          <w:kern w:val="16"/>
          <w:sz w:val="24"/>
          <w:szCs w:val="24"/>
        </w:rPr>
        <w:t>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Pr>
          <w:rFonts w:ascii="Times New Roman" w:hAnsi="Times New Roman"/>
          <w:kern w:val="16"/>
          <w:sz w:val="24"/>
          <w:szCs w:val="24"/>
        </w:rPr>
        <w:t>:</w:t>
      </w:r>
      <w:r w:rsidRPr="00166330">
        <w:rPr>
          <w:rFonts w:ascii="Times New Roman" w:hAnsi="Times New Roman"/>
          <w:kern w:val="16"/>
          <w:sz w:val="24"/>
          <w:szCs w:val="24"/>
        </w:rPr>
        <w:t xml:space="preserve"> </w:t>
      </w:r>
      <w:r>
        <w:rPr>
          <w:rFonts w:ascii="Times New Roman" w:hAnsi="Times New Roman"/>
          <w:kern w:val="16"/>
          <w:sz w:val="24"/>
          <w:szCs w:val="24"/>
        </w:rPr>
        <w:t xml:space="preserve"> </w:t>
      </w:r>
      <w:r w:rsidR="00A943C5">
        <w:rPr>
          <w:rFonts w:ascii="Times New Roman" w:hAnsi="Times New Roman"/>
          <w:b/>
          <w:kern w:val="16"/>
          <w:sz w:val="24"/>
          <w:szCs w:val="24"/>
        </w:rPr>
        <w:t>29 973</w:t>
      </w:r>
      <w:r w:rsidR="00102BC4">
        <w:rPr>
          <w:rFonts w:ascii="Times New Roman" w:hAnsi="Times New Roman"/>
          <w:b/>
          <w:kern w:val="16"/>
          <w:sz w:val="24"/>
          <w:szCs w:val="24"/>
        </w:rPr>
        <w:t xml:space="preserve"> (</w:t>
      </w:r>
      <w:r w:rsidR="00A943C5">
        <w:rPr>
          <w:rFonts w:ascii="Times New Roman" w:hAnsi="Times New Roman"/>
          <w:b/>
          <w:kern w:val="16"/>
          <w:sz w:val="24"/>
          <w:szCs w:val="24"/>
        </w:rPr>
        <w:t>двадцать девять</w:t>
      </w:r>
      <w:r w:rsidR="00102BC4">
        <w:rPr>
          <w:rFonts w:ascii="Times New Roman" w:hAnsi="Times New Roman"/>
          <w:b/>
          <w:kern w:val="16"/>
          <w:sz w:val="24"/>
          <w:szCs w:val="24"/>
        </w:rPr>
        <w:t xml:space="preserve"> тысяч</w:t>
      </w:r>
      <w:r w:rsidR="00CB41B4">
        <w:rPr>
          <w:rFonts w:ascii="Times New Roman" w:hAnsi="Times New Roman"/>
          <w:b/>
          <w:kern w:val="16"/>
          <w:sz w:val="24"/>
          <w:szCs w:val="24"/>
        </w:rPr>
        <w:t xml:space="preserve"> </w:t>
      </w:r>
      <w:proofErr w:type="spellStart"/>
      <w:r w:rsidR="00A943C5">
        <w:rPr>
          <w:rFonts w:ascii="Times New Roman" w:hAnsi="Times New Roman"/>
          <w:b/>
          <w:kern w:val="16"/>
          <w:sz w:val="24"/>
          <w:szCs w:val="24"/>
        </w:rPr>
        <w:t>девятсот</w:t>
      </w:r>
      <w:proofErr w:type="spellEnd"/>
      <w:r w:rsidR="00A943C5">
        <w:rPr>
          <w:rFonts w:ascii="Times New Roman" w:hAnsi="Times New Roman"/>
          <w:b/>
          <w:kern w:val="16"/>
          <w:sz w:val="24"/>
          <w:szCs w:val="24"/>
        </w:rPr>
        <w:t xml:space="preserve"> семьдесят три</w:t>
      </w:r>
      <w:r w:rsidR="000F0B13">
        <w:rPr>
          <w:rFonts w:ascii="Times New Roman" w:hAnsi="Times New Roman"/>
          <w:b/>
          <w:kern w:val="16"/>
          <w:sz w:val="24"/>
          <w:szCs w:val="24"/>
        </w:rPr>
        <w:t>)</w:t>
      </w:r>
      <w:r w:rsidR="00102BC4" w:rsidRPr="00102BC4">
        <w:rPr>
          <w:rFonts w:ascii="Times New Roman" w:hAnsi="Times New Roman"/>
          <w:b/>
          <w:kern w:val="16"/>
          <w:sz w:val="24"/>
          <w:szCs w:val="24"/>
        </w:rPr>
        <w:t xml:space="preserve"> </w:t>
      </w:r>
      <w:r w:rsidR="00102BC4">
        <w:rPr>
          <w:rFonts w:ascii="Times New Roman" w:hAnsi="Times New Roman"/>
          <w:b/>
          <w:kern w:val="16"/>
          <w:sz w:val="24"/>
          <w:szCs w:val="24"/>
        </w:rPr>
        <w:t>рубл</w:t>
      </w:r>
      <w:r w:rsidR="00A943C5">
        <w:rPr>
          <w:rFonts w:ascii="Times New Roman" w:hAnsi="Times New Roman"/>
          <w:b/>
          <w:kern w:val="16"/>
          <w:sz w:val="24"/>
          <w:szCs w:val="24"/>
        </w:rPr>
        <w:t>я</w:t>
      </w:r>
      <w:r w:rsidR="00444D2D">
        <w:rPr>
          <w:rFonts w:ascii="Times New Roman" w:hAnsi="Times New Roman"/>
          <w:b/>
          <w:kern w:val="16"/>
          <w:sz w:val="24"/>
          <w:szCs w:val="24"/>
        </w:rPr>
        <w:t xml:space="preserve"> </w:t>
      </w:r>
      <w:r w:rsidR="00102BC4">
        <w:rPr>
          <w:rFonts w:ascii="Times New Roman" w:hAnsi="Times New Roman"/>
          <w:b/>
          <w:kern w:val="16"/>
          <w:sz w:val="24"/>
          <w:szCs w:val="24"/>
        </w:rPr>
        <w:t xml:space="preserve"> </w:t>
      </w:r>
      <w:r w:rsidR="00A943C5">
        <w:rPr>
          <w:rFonts w:ascii="Times New Roman" w:hAnsi="Times New Roman"/>
          <w:b/>
          <w:kern w:val="16"/>
          <w:sz w:val="24"/>
          <w:szCs w:val="24"/>
        </w:rPr>
        <w:t>52</w:t>
      </w:r>
      <w:r w:rsidR="00102BC4">
        <w:rPr>
          <w:rFonts w:ascii="Times New Roman" w:hAnsi="Times New Roman"/>
          <w:b/>
          <w:kern w:val="16"/>
          <w:sz w:val="24"/>
          <w:szCs w:val="24"/>
        </w:rPr>
        <w:t xml:space="preserve"> копе</w:t>
      </w:r>
      <w:r w:rsidR="00A943C5">
        <w:rPr>
          <w:rFonts w:ascii="Times New Roman" w:hAnsi="Times New Roman"/>
          <w:b/>
          <w:kern w:val="16"/>
          <w:sz w:val="24"/>
          <w:szCs w:val="24"/>
        </w:rPr>
        <w:t>йки</w:t>
      </w:r>
      <w:r w:rsidR="00102BC4">
        <w:rPr>
          <w:rFonts w:ascii="Times New Roman" w:hAnsi="Times New Roman"/>
          <w:b/>
          <w:kern w:val="16"/>
          <w:sz w:val="24"/>
          <w:szCs w:val="24"/>
        </w:rPr>
        <w:t>.</w:t>
      </w:r>
      <w:proofErr w:type="gramEnd"/>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 xml:space="preserve">6.3.В ходе исполнения Контракта </w:t>
      </w:r>
      <w:r w:rsidR="002E2038">
        <w:rPr>
          <w:rFonts w:ascii="Times New Roman" w:hAnsi="Times New Roman"/>
          <w:sz w:val="24"/>
          <w:szCs w:val="24"/>
        </w:rPr>
        <w:t>Подрядчик</w:t>
      </w:r>
      <w:r w:rsidRPr="004B71E0">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0F0B1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lastRenderedPageBreak/>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79E5" w:rsidRPr="008379E5" w:rsidRDefault="008379E5" w:rsidP="00767B80">
      <w:pPr>
        <w:pStyle w:val="a5"/>
        <w:numPr>
          <w:ilvl w:val="1"/>
          <w:numId w:val="6"/>
        </w:numPr>
        <w:spacing w:after="0" w:line="240" w:lineRule="auto"/>
        <w:ind w:left="0" w:firstLine="0"/>
        <w:jc w:val="both"/>
        <w:rPr>
          <w:rFonts w:ascii="Times New Roman" w:hAnsi="Times New Roman" w:cs="Times New Roman"/>
          <w:sz w:val="24"/>
          <w:szCs w:val="24"/>
        </w:rPr>
      </w:pPr>
      <w:r w:rsidRPr="008379E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79E5" w:rsidRPr="008379E5" w:rsidRDefault="008379E5" w:rsidP="00767B80">
      <w:pPr>
        <w:numPr>
          <w:ilvl w:val="1"/>
          <w:numId w:val="6"/>
        </w:numPr>
        <w:spacing w:after="0" w:line="240" w:lineRule="auto"/>
        <w:ind w:left="0" w:firstLine="0"/>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D72B2">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вправе потребовать уплаты неустоек (штрафов, пеней). </w:t>
      </w:r>
    </w:p>
    <w:p w:rsidR="008379E5" w:rsidRPr="008379E5" w:rsidRDefault="008379E5" w:rsidP="00767B80">
      <w:pPr>
        <w:tabs>
          <w:tab w:val="left" w:pos="720"/>
          <w:tab w:val="left" w:pos="1440"/>
        </w:tabs>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w:t>
      </w:r>
      <w:r w:rsidR="00C520E4">
        <w:rPr>
          <w:rFonts w:ascii="Times New Roman" w:hAnsi="Times New Roman" w:cs="Times New Roman"/>
          <w:sz w:val="24"/>
          <w:szCs w:val="24"/>
        </w:rPr>
        <w:t xml:space="preserve"> </w:t>
      </w:r>
      <w:r w:rsidRPr="008379E5">
        <w:rPr>
          <w:rFonts w:ascii="Times New Roman" w:hAnsi="Times New Roman" w:cs="Times New Roman"/>
          <w:sz w:val="24"/>
          <w:szCs w:val="24"/>
        </w:rPr>
        <w:t xml:space="preserve"> Центрального банка Российской Федерации от не уплаченной в срок суммы. </w:t>
      </w:r>
    </w:p>
    <w:p w:rsidR="008379E5" w:rsidRPr="008379E5" w:rsidRDefault="008379E5" w:rsidP="00767B80">
      <w:pPr>
        <w:spacing w:after="0" w:line="240" w:lineRule="auto"/>
        <w:ind w:right="92"/>
        <w:contextualSpacing/>
        <w:jc w:val="both"/>
        <w:rPr>
          <w:rFonts w:ascii="Times New Roman" w:hAnsi="Times New Roman" w:cs="Times New Roman"/>
          <w:sz w:val="24"/>
          <w:szCs w:val="24"/>
        </w:rPr>
      </w:pPr>
      <w:r w:rsidRPr="008379E5">
        <w:rPr>
          <w:rFonts w:ascii="Times New Roman" w:hAnsi="Times New Roman" w:cs="Times New Roman"/>
          <w:color w:val="000000"/>
          <w:sz w:val="24"/>
          <w:szCs w:val="24"/>
        </w:rPr>
        <w:t xml:space="preserve">7.4. За каждый факт </w:t>
      </w:r>
      <w:r w:rsidRPr="008379E5">
        <w:rPr>
          <w:rFonts w:ascii="Times New Roman" w:hAnsi="Times New Roman" w:cs="Times New Roman"/>
          <w:sz w:val="24"/>
          <w:szCs w:val="24"/>
        </w:rPr>
        <w:t>неисполнения Заказчиком обязательств, предусмотренных Контрактом</w:t>
      </w:r>
      <w:r w:rsidRPr="008379E5">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79E5">
        <w:rPr>
          <w:rFonts w:ascii="Times New Roman" w:hAnsi="Times New Roman" w:cs="Times New Roman"/>
          <w:sz w:val="24"/>
          <w:szCs w:val="24"/>
        </w:rPr>
        <w:t xml:space="preserve">, </w:t>
      </w:r>
      <w:r w:rsidR="00C520E4">
        <w:rPr>
          <w:rFonts w:ascii="Times New Roman" w:hAnsi="Times New Roman" w:cs="Times New Roman"/>
          <w:sz w:val="24"/>
          <w:szCs w:val="24"/>
        </w:rPr>
        <w:t>Подрядчик</w:t>
      </w:r>
      <w:r w:rsidRPr="008379E5">
        <w:rPr>
          <w:rFonts w:ascii="Times New Roman" w:hAnsi="Times New Roman" w:cs="Times New Roman"/>
          <w:sz w:val="24"/>
          <w:szCs w:val="24"/>
        </w:rPr>
        <w:t xml:space="preserve"> вправе потребовать уплаты штрафа.</w:t>
      </w:r>
    </w:p>
    <w:p w:rsidR="008379E5" w:rsidRPr="008379E5" w:rsidRDefault="008379E5" w:rsidP="00767B80">
      <w:pPr>
        <w:spacing w:after="0" w:line="240" w:lineRule="auto"/>
        <w:ind w:right="92"/>
        <w:contextualSpacing/>
        <w:jc w:val="both"/>
        <w:rPr>
          <w:rFonts w:ascii="Times New Roman" w:eastAsia="Lucida Sans Unicode" w:hAnsi="Times New Roman" w:cs="Times New Roman"/>
          <w:color w:val="000000"/>
          <w:sz w:val="24"/>
          <w:szCs w:val="24"/>
          <w:lang w:bidi="en-US"/>
        </w:rPr>
      </w:pPr>
      <w:r w:rsidRPr="008379E5">
        <w:rPr>
          <w:rFonts w:ascii="Times New Roman" w:eastAsia="Lucida Sans Unicode" w:hAnsi="Times New Roman" w:cs="Times New Roman"/>
          <w:color w:val="000000"/>
          <w:sz w:val="24"/>
          <w:szCs w:val="24"/>
          <w:lang w:bidi="en-US"/>
        </w:rPr>
        <w:t>7.5.</w:t>
      </w:r>
      <w:r w:rsidRPr="008379E5">
        <w:rPr>
          <w:rFonts w:ascii="Times New Roman" w:hAnsi="Times New Roman" w:cs="Times New Roman"/>
          <w:color w:val="000000"/>
          <w:sz w:val="24"/>
          <w:szCs w:val="24"/>
        </w:rPr>
        <w:t xml:space="preserve">  </w:t>
      </w:r>
      <w:r w:rsidRPr="008379E5">
        <w:rPr>
          <w:rFonts w:ascii="Times New Roman" w:eastAsia="Lucida Sans Unicode" w:hAnsi="Times New Roman" w:cs="Times New Roman"/>
          <w:color w:val="000000"/>
          <w:sz w:val="24"/>
          <w:szCs w:val="24"/>
          <w:lang w:bidi="en-US"/>
        </w:rPr>
        <w:t>Размер штрафа составляет _____ руб.:</w:t>
      </w:r>
    </w:p>
    <w:p w:rsidR="008379E5" w:rsidRPr="008379E5" w:rsidRDefault="008379E5" w:rsidP="00767B80">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79E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8379E5">
          <w:rPr>
            <w:rFonts w:ascii="Times New Roman" w:eastAsia="Lucida Sans Unicode" w:hAnsi="Times New Roman" w:cs="Times New Roman"/>
            <w:sz w:val="24"/>
            <w:szCs w:val="24"/>
            <w:lang w:bidi="en-US"/>
          </w:rPr>
          <w:t>Постановлением</w:t>
        </w:r>
      </w:hyperlink>
      <w:r w:rsidRPr="008379E5">
        <w:rPr>
          <w:rFonts w:ascii="Times New Roman" w:eastAsia="Lucida Sans Unicode" w:hAnsi="Times New Roman" w:cs="Times New Roman"/>
          <w:sz w:val="24"/>
          <w:szCs w:val="24"/>
          <w:lang w:bidi="en-US"/>
        </w:rPr>
        <w:t xml:space="preserve"> П</w:t>
      </w:r>
      <w:r w:rsidRPr="008379E5">
        <w:rPr>
          <w:rFonts w:ascii="Times New Roman" w:eastAsia="Lucida Sans Unicode" w:hAnsi="Times New Roman" w:cs="Times New Roman"/>
          <w:color w:val="000000"/>
          <w:sz w:val="24"/>
          <w:szCs w:val="24"/>
          <w:lang w:bidi="en-US"/>
        </w:rPr>
        <w:t xml:space="preserve">равительства Российской Федерации </w:t>
      </w:r>
      <w:r w:rsidRPr="00767B80">
        <w:rPr>
          <w:rFonts w:ascii="Times New Roman" w:eastAsia="Lucida Sans Unicode" w:hAnsi="Times New Roman" w:cs="Times New Roman"/>
          <w:color w:val="000000"/>
          <w:sz w:val="24"/>
          <w:szCs w:val="24"/>
          <w:lang w:bidi="en-US"/>
        </w:rPr>
        <w:t>от</w:t>
      </w:r>
      <w:r w:rsidR="00767B80">
        <w:rPr>
          <w:rFonts w:ascii="Times New Roman" w:eastAsia="Lucida Sans Unicode" w:hAnsi="Times New Roman" w:cs="Times New Roman"/>
          <w:color w:val="000000"/>
          <w:sz w:val="24"/>
          <w:szCs w:val="24"/>
          <w:lang w:bidi="en-US"/>
        </w:rPr>
        <w:t xml:space="preserve">  </w:t>
      </w:r>
      <w:r w:rsidRPr="00767B80">
        <w:rPr>
          <w:rFonts w:ascii="Times New Roman" w:eastAsia="Lucida Sans Unicode" w:hAnsi="Times New Roman" w:cs="Times New Roman"/>
          <w:color w:val="000000"/>
          <w:sz w:val="24"/>
          <w:szCs w:val="24"/>
          <w:lang w:bidi="en-US"/>
        </w:rPr>
        <w:t>3</w:t>
      </w:r>
      <w:r w:rsidRPr="008379E5">
        <w:rPr>
          <w:rFonts w:ascii="Times New Roman" w:eastAsia="Lucida Sans Unicode" w:hAnsi="Times New Roman" w:cs="Times New Roman"/>
          <w:color w:val="000000"/>
          <w:sz w:val="24"/>
          <w:szCs w:val="24"/>
          <w:lang w:bidi="en-US"/>
        </w:rPr>
        <w:t>0.08.2017 №</w:t>
      </w:r>
      <w:r w:rsidR="000F0B13">
        <w:rPr>
          <w:rFonts w:ascii="Times New Roman" w:eastAsia="Lucida Sans Unicode" w:hAnsi="Times New Roman" w:cs="Times New Roman"/>
          <w:color w:val="000000"/>
          <w:sz w:val="24"/>
          <w:szCs w:val="24"/>
          <w:lang w:bidi="en-US"/>
        </w:rPr>
        <w:t xml:space="preserve"> </w:t>
      </w:r>
      <w:r w:rsidRPr="008379E5">
        <w:rPr>
          <w:rFonts w:ascii="Times New Roman" w:eastAsia="Lucida Sans Unicode" w:hAnsi="Times New Roman" w:cs="Times New Roman"/>
          <w:color w:val="000000"/>
          <w:sz w:val="24"/>
          <w:szCs w:val="24"/>
          <w:lang w:bidi="en-US"/>
        </w:rPr>
        <w:t>1042:</w:t>
      </w:r>
    </w:p>
    <w:p w:rsidR="008379E5" w:rsidRPr="008379E5" w:rsidRDefault="008379E5" w:rsidP="00767B80">
      <w:pPr>
        <w:pStyle w:val="s1"/>
        <w:spacing w:before="0" w:beforeAutospacing="0" w:after="0" w:afterAutospacing="0"/>
        <w:jc w:val="both"/>
        <w:rPr>
          <w:color w:val="000000"/>
        </w:rPr>
      </w:pPr>
      <w:r w:rsidRPr="008379E5">
        <w:rPr>
          <w:color w:val="000000"/>
        </w:rPr>
        <w:t>а) 1000 рублей, если цена Контракта не превышает 3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б) 5000 рублей, если цена Контракта составляет от 3 млн. рублей до 50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в) 10000 рублей, если цена Контракта составляет от 50 млн. рублей до 100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г) 100000 рублей, если цена контракта превышает 100 млн. рублей.</w:t>
      </w:r>
    </w:p>
    <w:p w:rsidR="008379E5" w:rsidRPr="008379E5" w:rsidRDefault="008379E5" w:rsidP="00767B80">
      <w:pPr>
        <w:pStyle w:val="s1"/>
        <w:spacing w:before="0" w:beforeAutospacing="0" w:after="0" w:afterAutospacing="0"/>
        <w:jc w:val="both"/>
      </w:pPr>
      <w:r w:rsidRPr="008379E5">
        <w:rPr>
          <w:color w:val="000000"/>
        </w:rPr>
        <w:t xml:space="preserve">7.6. </w:t>
      </w:r>
      <w:r w:rsidRPr="008379E5">
        <w:t xml:space="preserve">В случае просрочки исполнения </w:t>
      </w:r>
      <w:r w:rsidR="008231DA">
        <w:t>Подрядчиком</w:t>
      </w:r>
      <w:r w:rsidRPr="008379E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231DA">
        <w:t>Подрядчиком</w:t>
      </w:r>
      <w:r w:rsidRPr="008379E5">
        <w:t xml:space="preserve"> обязательств, предусмотренных Контрактом, Заказчик направляет</w:t>
      </w:r>
      <w:r w:rsidR="008231DA">
        <w:t xml:space="preserve"> </w:t>
      </w:r>
      <w:r w:rsidRPr="008379E5">
        <w:t xml:space="preserve"> </w:t>
      </w:r>
      <w:r w:rsidR="008231DA">
        <w:t xml:space="preserve">Подрядчику </w:t>
      </w:r>
      <w:r w:rsidRPr="008379E5">
        <w:t xml:space="preserve"> требование об уплате неустоек (штрафов, пеней).</w:t>
      </w:r>
    </w:p>
    <w:p w:rsidR="008379E5" w:rsidRPr="008379E5" w:rsidRDefault="008379E5" w:rsidP="00767B80">
      <w:pPr>
        <w:pStyle w:val="s1"/>
        <w:spacing w:before="0" w:beforeAutospacing="0" w:after="0" w:afterAutospacing="0"/>
        <w:jc w:val="both"/>
        <w:rPr>
          <w:color w:val="000000"/>
        </w:rPr>
      </w:pPr>
      <w:r w:rsidRPr="008379E5">
        <w:rPr>
          <w:color w:val="000000"/>
        </w:rPr>
        <w:lastRenderedPageBreak/>
        <w:t xml:space="preserve">7.7. </w:t>
      </w:r>
      <w:proofErr w:type="gramStart"/>
      <w:r w:rsidRPr="008379E5">
        <w:rPr>
          <w:color w:val="000000"/>
        </w:rPr>
        <w:t xml:space="preserve">Пеня начисляется за каждый день просрочки исполнения </w:t>
      </w:r>
      <w:r w:rsidR="008231DA">
        <w:rPr>
          <w:color w:val="000000"/>
        </w:rPr>
        <w:t>Подрядчиком</w:t>
      </w:r>
      <w:r w:rsidRPr="008379E5">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8379E5">
        <w:t xml:space="preserve">пени </w:t>
      </w:r>
      <w:hyperlink r:id="rId6" w:anchor="/document/10180094/entry/0" w:history="1">
        <w:r w:rsidRPr="000F0B13">
          <w:rPr>
            <w:rStyle w:val="a6"/>
            <w:color w:val="auto"/>
            <w:u w:val="none"/>
          </w:rPr>
          <w:t>ставки рефинансирования</w:t>
        </w:r>
      </w:hyperlink>
      <w:r w:rsidRPr="000F0B13">
        <w:t xml:space="preserve"> Ц</w:t>
      </w:r>
      <w:r w:rsidRPr="008379E5">
        <w:rPr>
          <w:color w:val="000000"/>
        </w:rPr>
        <w:t xml:space="preserve">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31DA">
        <w:rPr>
          <w:color w:val="000000"/>
        </w:rPr>
        <w:t>Подрядчиком</w:t>
      </w:r>
      <w:r w:rsidRPr="008379E5">
        <w:rPr>
          <w:color w:val="000000"/>
        </w:rPr>
        <w:t>.</w:t>
      </w:r>
      <w:proofErr w:type="gramEnd"/>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7.8.  За каждый факт неисполнения или ненадлежащего исполнения </w:t>
      </w:r>
      <w:r w:rsidR="008231DA">
        <w:rPr>
          <w:rFonts w:ascii="Times New Roman" w:hAnsi="Times New Roman" w:cs="Times New Roman"/>
          <w:color w:val="000000"/>
          <w:sz w:val="24"/>
          <w:szCs w:val="24"/>
        </w:rPr>
        <w:t xml:space="preserve">Подрядчиком </w:t>
      </w:r>
      <w:r w:rsidRPr="008379E5">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7.9. Размер штрафа  составляет _____ руб.</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8379E5">
          <w:rPr>
            <w:rFonts w:ascii="Times New Roman" w:hAnsi="Times New Roman" w:cs="Times New Roman"/>
            <w:color w:val="000000"/>
            <w:sz w:val="24"/>
            <w:szCs w:val="24"/>
          </w:rPr>
          <w:t>Постановлением</w:t>
        </w:r>
      </w:hyperlink>
      <w:r w:rsidRPr="008379E5">
        <w:rPr>
          <w:rFonts w:ascii="Times New Roman" w:hAnsi="Times New Roman" w:cs="Times New Roman"/>
          <w:color w:val="000000"/>
          <w:sz w:val="24"/>
          <w:szCs w:val="24"/>
        </w:rPr>
        <w:t xml:space="preserve"> Правительства Российской Федерации от 30.08.2017  №</w:t>
      </w:r>
      <w:r w:rsidR="000F0B13">
        <w:rPr>
          <w:rFonts w:ascii="Times New Roman" w:hAnsi="Times New Roman" w:cs="Times New Roman"/>
          <w:color w:val="000000"/>
          <w:sz w:val="24"/>
          <w:szCs w:val="24"/>
        </w:rPr>
        <w:t xml:space="preserve"> </w:t>
      </w:r>
      <w:r w:rsidRPr="008379E5">
        <w:rPr>
          <w:rFonts w:ascii="Times New Roman" w:hAnsi="Times New Roman" w:cs="Times New Roman"/>
          <w:color w:val="000000"/>
          <w:sz w:val="24"/>
          <w:szCs w:val="24"/>
        </w:rPr>
        <w:t>1042:</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7.10. Уплата неустойки (штрафа, пени) не освобождает виновную Сторону от выполнения принятых на себя обязательств по Контракту.</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 xml:space="preserve">7.12.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79E5" w:rsidRPr="008379E5" w:rsidRDefault="008379E5" w:rsidP="00767B80">
      <w:pPr>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7.13.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7.14.  Общая сумма начисленной неустойки (штрафов, пени) за неисполнение или ненадлежащее исполнение </w:t>
      </w:r>
      <w:r w:rsidR="008231DA">
        <w:rPr>
          <w:rFonts w:ascii="Times New Roman" w:hAnsi="Times New Roman" w:cs="Times New Roman"/>
          <w:color w:val="000000"/>
          <w:sz w:val="24"/>
          <w:szCs w:val="24"/>
        </w:rPr>
        <w:t>Подрядчиком</w:t>
      </w:r>
      <w:r w:rsidRPr="008379E5">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0F0B13">
        <w:rPr>
          <w:rFonts w:ascii="Times New Roman" w:hAnsi="Times New Roman" w:cs="Times New Roman"/>
          <w:color w:val="000000"/>
          <w:sz w:val="24"/>
          <w:szCs w:val="24"/>
        </w:rPr>
        <w:t>К</w:t>
      </w:r>
      <w:r w:rsidRPr="008379E5">
        <w:rPr>
          <w:rFonts w:ascii="Times New Roman" w:hAnsi="Times New Roman" w:cs="Times New Roman"/>
          <w:color w:val="000000"/>
          <w:sz w:val="24"/>
          <w:szCs w:val="24"/>
        </w:rPr>
        <w:t>онтракта.</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8231DA" w:rsidRDefault="00AA6ABA" w:rsidP="008231DA">
      <w:pPr>
        <w:pStyle w:val="a5"/>
        <w:numPr>
          <w:ilvl w:val="0"/>
          <w:numId w:val="6"/>
        </w:numPr>
        <w:tabs>
          <w:tab w:val="left" w:pos="426"/>
        </w:tabs>
        <w:spacing w:after="0" w:line="240" w:lineRule="auto"/>
        <w:jc w:val="center"/>
        <w:rPr>
          <w:rFonts w:ascii="Times New Roman" w:hAnsi="Times New Roman" w:cs="Times New Roman"/>
          <w:b/>
          <w:sz w:val="24"/>
          <w:szCs w:val="24"/>
        </w:rPr>
      </w:pPr>
      <w:r w:rsidRPr="008231DA">
        <w:rPr>
          <w:rFonts w:ascii="Times New Roman" w:hAnsi="Times New Roman" w:cs="Times New Roman"/>
          <w:b/>
          <w:sz w:val="24"/>
          <w:szCs w:val="24"/>
        </w:rPr>
        <w:t>Форс-мажорные обстоятельства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231DA">
      <w:pPr>
        <w:keepNext/>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w:t>
      </w:r>
      <w:r w:rsidRPr="00AA6ABA">
        <w:rPr>
          <w:rFonts w:ascii="Times New Roman" w:hAnsi="Times New Roman" w:cs="Times New Roman"/>
          <w:sz w:val="24"/>
          <w:szCs w:val="24"/>
        </w:rPr>
        <w:lastRenderedPageBreak/>
        <w:t>Стороны не придут к соглашению, спор подлежит рассмотрению в Арбитражном суде Алтайского края.</w:t>
      </w: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A6ABA">
        <w:rPr>
          <w:rFonts w:ascii="Times New Roman" w:hAnsi="Times New Roman" w:cs="Times New Roman"/>
          <w:sz w:val="24"/>
          <w:szCs w:val="24"/>
        </w:rPr>
        <w:t xml:space="preserve"> связи и доставки, </w:t>
      </w:r>
      <w:proofErr w:type="gramStart"/>
      <w:r w:rsidRPr="00AA6ABA">
        <w:rPr>
          <w:rFonts w:ascii="Times New Roman" w:hAnsi="Times New Roman" w:cs="Times New Roman"/>
          <w:sz w:val="24"/>
          <w:szCs w:val="24"/>
        </w:rPr>
        <w:t>обеспечивающих</w:t>
      </w:r>
      <w:proofErr w:type="gramEnd"/>
      <w:r w:rsidRPr="00AA6AB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A6ABA">
        <w:rPr>
          <w:rFonts w:ascii="Times New Roman" w:hAnsi="Times New Roman" w:cs="Times New Roman"/>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A6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ABA">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w:t>
      </w:r>
      <w:r w:rsidRPr="00AA6ABA">
        <w:rPr>
          <w:rFonts w:ascii="Times New Roman" w:hAnsi="Times New Roman" w:cs="Times New Roman"/>
          <w:sz w:val="24"/>
          <w:szCs w:val="24"/>
        </w:rPr>
        <w:lastRenderedPageBreak/>
        <w:t>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w:t>
      </w:r>
      <w:proofErr w:type="gramStart"/>
      <w:r w:rsidRPr="00AA6ABA">
        <w:rPr>
          <w:rFonts w:ascii="Times New Roman" w:hAnsi="Times New Roman" w:cs="Times New Roman"/>
          <w:sz w:val="24"/>
          <w:szCs w:val="24"/>
        </w:rPr>
        <w:t>кт вст</w:t>
      </w:r>
      <w:proofErr w:type="gramEnd"/>
      <w:r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w:t>
      </w:r>
      <w:r w:rsidR="003453F5">
        <w:rPr>
          <w:szCs w:val="24"/>
        </w:rPr>
        <w:t>ая</w:t>
      </w:r>
      <w:r w:rsidRPr="00AA6ABA">
        <w:rPr>
          <w:szCs w:val="24"/>
        </w:rPr>
        <w:t xml:space="preserve"> смет</w:t>
      </w:r>
      <w:r w:rsidR="003453F5">
        <w:rPr>
          <w:szCs w:val="24"/>
        </w:rPr>
        <w:t>а</w:t>
      </w:r>
      <w:r w:rsidRPr="00AA6ABA">
        <w:rPr>
          <w:szCs w:val="24"/>
        </w:rPr>
        <w:t xml:space="preserve"> (Приложение №</w:t>
      </w:r>
      <w:r w:rsidR="000F0B13">
        <w:rPr>
          <w:szCs w:val="24"/>
        </w:rPr>
        <w:t xml:space="preserve"> </w:t>
      </w:r>
      <w:r w:rsidRPr="00AA6ABA">
        <w:rPr>
          <w:szCs w:val="24"/>
        </w:rPr>
        <w:t>2).</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w:t>
      </w:r>
      <w:r w:rsidRPr="00AA6ABA">
        <w:rPr>
          <w:rFonts w:ascii="Times New Roman" w:hAnsi="Times New Roman" w:cs="Times New Roman"/>
          <w:sz w:val="24"/>
          <w:szCs w:val="24"/>
        </w:rPr>
        <w:lastRenderedPageBreak/>
        <w:t xml:space="preserve">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8231DA">
      <w:pPr>
        <w:numPr>
          <w:ilvl w:val="0"/>
          <w:numId w:val="6"/>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516F23" w:rsidRDefault="00516F23"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 xml:space="preserve">/с 03173011690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516F23">
              <w:rPr>
                <w:rFonts w:ascii="Times New Roman" w:hAnsi="Times New Roman" w:cs="Times New Roman"/>
                <w:sz w:val="24"/>
                <w:szCs w:val="24"/>
              </w:rPr>
              <w:t xml:space="preserve"> </w:t>
            </w:r>
            <w:r w:rsidRPr="00AA6ABA">
              <w:rPr>
                <w:rFonts w:ascii="Times New Roman" w:hAnsi="Times New Roman" w:cs="Times New Roman"/>
                <w:sz w:val="24"/>
                <w:szCs w:val="24"/>
              </w:rPr>
              <w:t xml:space="preserve"> </w:t>
            </w:r>
            <w:proofErr w:type="gramStart"/>
            <w:r w:rsidRPr="00AA6ABA">
              <w:rPr>
                <w:rFonts w:ascii="Times New Roman" w:hAnsi="Times New Roman" w:cs="Times New Roman"/>
                <w:sz w:val="24"/>
                <w:szCs w:val="24"/>
              </w:rPr>
              <w:t>г</w:t>
            </w:r>
            <w:proofErr w:type="gramEnd"/>
            <w:r w:rsidRPr="00AA6ABA">
              <w:rPr>
                <w:rFonts w:ascii="Times New Roman" w:hAnsi="Times New Roman" w:cs="Times New Roman"/>
                <w:sz w:val="24"/>
                <w:szCs w:val="24"/>
              </w:rPr>
              <w:t>.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p>
        </w:tc>
      </w:tr>
    </w:tbl>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2753C8"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w:t>
      </w:r>
      <w:r w:rsidR="00B9281D">
        <w:rPr>
          <w:rFonts w:ascii="Times New Roman" w:hAnsi="Times New Roman" w:cs="Times New Roman"/>
          <w:b/>
          <w:i/>
          <w:sz w:val="24"/>
          <w:szCs w:val="24"/>
        </w:rPr>
        <w:t>риложение №</w:t>
      </w:r>
      <w:r w:rsidR="000F0B13">
        <w:rPr>
          <w:rFonts w:ascii="Times New Roman" w:hAnsi="Times New Roman" w:cs="Times New Roman"/>
          <w:b/>
          <w:i/>
          <w:sz w:val="24"/>
          <w:szCs w:val="24"/>
        </w:rPr>
        <w:t xml:space="preserve"> </w:t>
      </w:r>
      <w:r w:rsidR="00B9281D">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2E2255" w:rsidRDefault="000F0B13" w:rsidP="002753C8">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2E2255" w:rsidRDefault="002E2255" w:rsidP="002753C8">
      <w:pPr>
        <w:spacing w:after="0" w:line="240" w:lineRule="auto"/>
        <w:contextualSpacing/>
        <w:jc w:val="center"/>
        <w:rPr>
          <w:rFonts w:ascii="Times New Roman" w:hAnsi="Times New Roman" w:cs="Times New Roman"/>
          <w:b/>
          <w:sz w:val="24"/>
          <w:szCs w:val="24"/>
        </w:rPr>
      </w:pPr>
    </w:p>
    <w:p w:rsidR="002753C8" w:rsidRPr="002753C8" w:rsidRDefault="002753C8" w:rsidP="002753C8">
      <w:pPr>
        <w:spacing w:after="0" w:line="240" w:lineRule="auto"/>
        <w:contextualSpacing/>
        <w:jc w:val="center"/>
        <w:rPr>
          <w:rFonts w:ascii="Times New Roman" w:hAnsi="Times New Roman" w:cs="Times New Roman"/>
          <w:bCs/>
        </w:rPr>
      </w:pPr>
      <w:r w:rsidRPr="002753C8">
        <w:rPr>
          <w:rFonts w:ascii="Times New Roman" w:hAnsi="Times New Roman" w:cs="Times New Roman"/>
          <w:bCs/>
        </w:rPr>
        <w:t>Выполнение работ по капитальному ремонту муниципального помещения</w:t>
      </w:r>
    </w:p>
    <w:p w:rsidR="0008103B" w:rsidRPr="0008103B" w:rsidRDefault="002753C8" w:rsidP="002753C8">
      <w:pPr>
        <w:spacing w:after="0" w:line="240" w:lineRule="auto"/>
        <w:jc w:val="center"/>
        <w:rPr>
          <w:rFonts w:ascii="Times New Roman" w:eastAsia="Times New Roman" w:hAnsi="Times New Roman" w:cs="Times New Roman"/>
          <w:sz w:val="24"/>
          <w:szCs w:val="24"/>
        </w:rPr>
      </w:pPr>
      <w:r w:rsidRPr="002753C8">
        <w:rPr>
          <w:rFonts w:ascii="Times New Roman" w:hAnsi="Times New Roman" w:cs="Times New Roman"/>
          <w:bCs/>
        </w:rPr>
        <w:t xml:space="preserve">№ 23 в многоквартирном доме №6 по ул. </w:t>
      </w:r>
      <w:proofErr w:type="gramStart"/>
      <w:r w:rsidRPr="002753C8">
        <w:rPr>
          <w:rFonts w:ascii="Times New Roman" w:hAnsi="Times New Roman" w:cs="Times New Roman"/>
          <w:bCs/>
        </w:rPr>
        <w:t>Киевской</w:t>
      </w:r>
      <w:proofErr w:type="gramEnd"/>
      <w:r w:rsidRPr="002753C8">
        <w:rPr>
          <w:rFonts w:ascii="Times New Roman" w:hAnsi="Times New Roman" w:cs="Times New Roman"/>
          <w:bCs/>
        </w:rPr>
        <w:t xml:space="preserve">  в городе Рубцовске</w:t>
      </w:r>
    </w:p>
    <w:p w:rsidR="002753C8" w:rsidRDefault="002753C8" w:rsidP="0008103B">
      <w:pPr>
        <w:spacing w:after="0" w:line="240" w:lineRule="auto"/>
        <w:jc w:val="both"/>
        <w:rPr>
          <w:rFonts w:ascii="Times New Roman" w:eastAsia="Times New Roman" w:hAnsi="Times New Roman" w:cs="Times New Roman"/>
          <w:sz w:val="24"/>
          <w:szCs w:val="24"/>
        </w:rPr>
      </w:pPr>
    </w:p>
    <w:p w:rsidR="0008103B" w:rsidRPr="0008103B" w:rsidRDefault="0008103B" w:rsidP="0008103B">
      <w:pPr>
        <w:spacing w:after="0" w:line="240" w:lineRule="auto"/>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1. Перечень и объем работ:</w:t>
      </w:r>
    </w:p>
    <w:p w:rsidR="0008103B" w:rsidRDefault="0008103B" w:rsidP="0008103B">
      <w:pPr>
        <w:spacing w:after="0" w:line="240" w:lineRule="auto"/>
        <w:ind w:left="7866"/>
        <w:jc w:val="right"/>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Таблица №1</w:t>
      </w:r>
    </w:p>
    <w:tbl>
      <w:tblPr>
        <w:tblW w:w="9938" w:type="dxa"/>
        <w:tblInd w:w="93" w:type="dxa"/>
        <w:tblLayout w:type="fixed"/>
        <w:tblLook w:val="0000"/>
      </w:tblPr>
      <w:tblGrid>
        <w:gridCol w:w="655"/>
        <w:gridCol w:w="6306"/>
        <w:gridCol w:w="1701"/>
        <w:gridCol w:w="1276"/>
      </w:tblGrid>
      <w:tr w:rsidR="002753C8" w:rsidTr="002753C8">
        <w:trPr>
          <w:trHeight w:val="495"/>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spellStart"/>
            <w:r w:rsidRPr="002753C8">
              <w:rPr>
                <w:rFonts w:ascii="Times New Roman" w:hAnsi="Times New Roman" w:cs="Times New Roman"/>
                <w:sz w:val="24"/>
                <w:szCs w:val="24"/>
              </w:rPr>
              <w:t>пп</w:t>
            </w:r>
            <w:proofErr w:type="spellEnd"/>
          </w:p>
        </w:tc>
        <w:tc>
          <w:tcPr>
            <w:tcW w:w="6306" w:type="dxa"/>
            <w:tcBorders>
              <w:top w:val="single" w:sz="4" w:space="0" w:color="auto"/>
              <w:left w:val="nil"/>
              <w:bottom w:val="nil"/>
              <w:right w:val="single" w:sz="4" w:space="0" w:color="auto"/>
            </w:tcBorders>
            <w:shd w:val="clear" w:color="auto" w:fill="auto"/>
            <w:vAlign w:val="center"/>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Ед. </w:t>
            </w:r>
            <w:proofErr w:type="spellStart"/>
            <w:r w:rsidRPr="002753C8">
              <w:rPr>
                <w:rFonts w:ascii="Times New Roman" w:hAnsi="Times New Roman" w:cs="Times New Roman"/>
                <w:sz w:val="24"/>
                <w:szCs w:val="24"/>
              </w:rPr>
              <w:t>изм</w:t>
            </w:r>
            <w:proofErr w:type="spellEnd"/>
            <w:r w:rsidRPr="002753C8">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Кол-во</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vAlign w:val="center"/>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w:t>
            </w:r>
          </w:p>
        </w:tc>
        <w:tc>
          <w:tcPr>
            <w:tcW w:w="6306" w:type="dxa"/>
            <w:tcBorders>
              <w:top w:val="single" w:sz="4" w:space="0" w:color="auto"/>
              <w:left w:val="nil"/>
              <w:bottom w:val="single" w:sz="4" w:space="0" w:color="auto"/>
              <w:right w:val="single" w:sz="4" w:space="0" w:color="auto"/>
            </w:tcBorders>
            <w:shd w:val="clear" w:color="auto" w:fill="auto"/>
            <w:noWrap/>
            <w:vAlign w:val="center"/>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auto" w:fill="auto"/>
            <w:noWrap/>
            <w:vAlign w:val="center"/>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noWrap/>
            <w:vAlign w:val="center"/>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w:t>
            </w:r>
          </w:p>
        </w:tc>
      </w:tr>
      <w:tr w:rsidR="002753C8" w:rsidTr="002753C8">
        <w:trPr>
          <w:trHeight w:val="450"/>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bCs/>
                <w:sz w:val="24"/>
                <w:szCs w:val="24"/>
              </w:rPr>
            </w:pPr>
            <w:r w:rsidRPr="002753C8">
              <w:rPr>
                <w:rFonts w:ascii="Times New Roman" w:hAnsi="Times New Roman" w:cs="Times New Roman"/>
                <w:bCs/>
                <w:sz w:val="24"/>
                <w:szCs w:val="24"/>
              </w:rPr>
              <w:t>Внутренняя отделка</w:t>
            </w:r>
          </w:p>
        </w:tc>
      </w:tr>
      <w:tr w:rsidR="002753C8" w:rsidTr="002753C8">
        <w:trPr>
          <w:trHeight w:val="38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Пол</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Разборка плинтусов: деревянных и из пластмассовых материалов</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 xml:space="preserve"> плинтуса</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43,4206</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Разборка покрытий полов: из линолеума и </w:t>
            </w:r>
            <w:proofErr w:type="spellStart"/>
            <w:r w:rsidRPr="002753C8">
              <w:rPr>
                <w:rFonts w:ascii="Times New Roman" w:hAnsi="Times New Roman" w:cs="Times New Roman"/>
                <w:sz w:val="24"/>
                <w:szCs w:val="24"/>
              </w:rPr>
              <w:t>релина</w:t>
            </w:r>
            <w:proofErr w:type="spellEnd"/>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1м² покрытия</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19,75</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Устройство покрытий: из плит древесноволокнистых</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покрытия</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40,58</w:t>
            </w:r>
          </w:p>
        </w:tc>
      </w:tr>
      <w:tr w:rsidR="002753C8" w:rsidTr="002753C8">
        <w:trPr>
          <w:trHeight w:val="69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Простая окраска масляными составами по дереву: полов</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окрашиваемой поверхности</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51,45</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5</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Устройство плинтусов поливинилхлоридных: на винтах самонарезающих</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 xml:space="preserve"> плинтуса</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43,4206</w:t>
            </w:r>
          </w:p>
        </w:tc>
      </w:tr>
      <w:tr w:rsidR="002753C8" w:rsidTr="002753C8">
        <w:trPr>
          <w:trHeight w:val="38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Pr>
                <w:rFonts w:ascii="Times New Roman" w:hAnsi="Times New Roman" w:cs="Times New Roman"/>
                <w:sz w:val="24"/>
                <w:szCs w:val="24"/>
              </w:rPr>
              <w:t>С</w:t>
            </w:r>
            <w:r w:rsidRPr="002753C8">
              <w:rPr>
                <w:rFonts w:ascii="Times New Roman" w:hAnsi="Times New Roman" w:cs="Times New Roman"/>
                <w:sz w:val="24"/>
                <w:szCs w:val="24"/>
              </w:rPr>
              <w:t>анузел</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6</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Разборка покрытий полов: из керамических плиток</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покрытия</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1,4</w:t>
            </w:r>
          </w:p>
        </w:tc>
      </w:tr>
      <w:tr w:rsidR="002753C8" w:rsidTr="002753C8">
        <w:trPr>
          <w:trHeight w:val="76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7</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Устройство покрытий на цементном растворе из плиток: керамических для полов одноцветных с красителем</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покрытия</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1,4</w:t>
            </w:r>
          </w:p>
        </w:tc>
      </w:tr>
      <w:tr w:rsidR="002753C8" w:rsidTr="002753C8">
        <w:trPr>
          <w:trHeight w:val="38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Потолки и стены</w:t>
            </w:r>
          </w:p>
        </w:tc>
      </w:tr>
      <w:tr w:rsidR="002753C8" w:rsidTr="002753C8">
        <w:trPr>
          <w:trHeight w:val="986"/>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8</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окрашиваемой поверхности</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51,62</w:t>
            </w:r>
          </w:p>
        </w:tc>
      </w:tr>
      <w:tr w:rsidR="002753C8" w:rsidTr="002753C8">
        <w:trPr>
          <w:trHeight w:val="55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9</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Снятие обоев: простых и улучшенных</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очищаемой поверхности</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118,6</w:t>
            </w:r>
          </w:p>
        </w:tc>
      </w:tr>
      <w:tr w:rsidR="002753C8" w:rsidTr="002E2255">
        <w:trPr>
          <w:trHeight w:val="758"/>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10</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Перетирка штукатурки: внутренних помещений стен</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перетертой поверхности</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30</w:t>
            </w:r>
          </w:p>
        </w:tc>
      </w:tr>
      <w:tr w:rsidR="002753C8" w:rsidTr="002E2255">
        <w:trPr>
          <w:trHeight w:val="1128"/>
        </w:trPr>
        <w:tc>
          <w:tcPr>
            <w:tcW w:w="655" w:type="dxa"/>
            <w:tcBorders>
              <w:top w:val="single" w:sz="4" w:space="0" w:color="auto"/>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lastRenderedPageBreak/>
              <w:t>11</w:t>
            </w:r>
          </w:p>
        </w:tc>
        <w:tc>
          <w:tcPr>
            <w:tcW w:w="6306"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Оклейка обоями стен по монолитной штукатурке и бетону: простыми и средней плотности</w:t>
            </w:r>
          </w:p>
        </w:tc>
        <w:tc>
          <w:tcPr>
            <w:tcW w:w="1701"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оклеиваемой и обиваемой поверхности</w:t>
            </w:r>
          </w:p>
        </w:tc>
        <w:tc>
          <w:tcPr>
            <w:tcW w:w="1276"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118,6</w:t>
            </w:r>
          </w:p>
        </w:tc>
      </w:tr>
      <w:tr w:rsidR="002753C8" w:rsidTr="002753C8">
        <w:trPr>
          <w:trHeight w:val="102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12</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поверхности облицовки</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1,2</w:t>
            </w:r>
          </w:p>
        </w:tc>
      </w:tr>
      <w:tr w:rsidR="002753C8" w:rsidTr="002753C8">
        <w:trPr>
          <w:trHeight w:val="712"/>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13</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Улучшенная масляная окраска ранее окрашенных стен: за два раза с расчисткой старой краски до 35%</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окрашиваемой поверхности</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4,5</w:t>
            </w:r>
          </w:p>
        </w:tc>
      </w:tr>
      <w:tr w:rsidR="002753C8" w:rsidTr="002753C8">
        <w:trPr>
          <w:trHeight w:val="38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A943C5" w:rsidP="002753C8">
            <w:pPr>
              <w:rPr>
                <w:rFonts w:ascii="Times New Roman" w:hAnsi="Times New Roman" w:cs="Times New Roman"/>
                <w:sz w:val="24"/>
                <w:szCs w:val="24"/>
              </w:rPr>
            </w:pPr>
            <w:r>
              <w:rPr>
                <w:rFonts w:ascii="Times New Roman" w:hAnsi="Times New Roman" w:cs="Times New Roman"/>
                <w:sz w:val="24"/>
                <w:szCs w:val="24"/>
              </w:rPr>
              <w:t>П</w:t>
            </w:r>
            <w:r w:rsidR="002753C8" w:rsidRPr="002753C8">
              <w:rPr>
                <w:rFonts w:ascii="Times New Roman" w:hAnsi="Times New Roman" w:cs="Times New Roman"/>
                <w:sz w:val="24"/>
                <w:szCs w:val="24"/>
              </w:rPr>
              <w:t>роемы</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14</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Разборка деревянных заполнений проемов: оконных с подоконными досками</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9</w:t>
            </w:r>
          </w:p>
        </w:tc>
      </w:tr>
      <w:tr w:rsidR="002753C8" w:rsidTr="002753C8">
        <w:trPr>
          <w:trHeight w:val="127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15</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Установка в жилых и общественных зданиях оконных блоков из ПВХ профилей: поворотных (откидных, поворотно-откидных) с площадью проема более 2 м² трехстворчатых, в том числе при наличии створок глухого остекления</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проемов</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9</w:t>
            </w:r>
          </w:p>
        </w:tc>
      </w:tr>
      <w:tr w:rsidR="002753C8" w:rsidTr="002753C8">
        <w:trPr>
          <w:trHeight w:val="76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16</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Блок оконный пластиковый трехстворчатый, с поворотно-откидной створкой, двухкамерным стеклопакетом (32 мм), площадью до 3 м</w:t>
            </w:r>
            <w:proofErr w:type="gramStart"/>
            <w:r w:rsidRPr="002753C8">
              <w:rPr>
                <w:rFonts w:ascii="Times New Roman" w:hAnsi="Times New Roman" w:cs="Times New Roman"/>
                <w:sz w:val="24"/>
                <w:szCs w:val="24"/>
              </w:rPr>
              <w:t>2</w:t>
            </w:r>
            <w:proofErr w:type="gramEnd"/>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9</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17</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Установка подоконных досок из ПВХ: в панельных стенах</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п</w:t>
            </w:r>
            <w:proofErr w:type="gramStart"/>
            <w:r w:rsidRPr="002753C8">
              <w:rPr>
                <w:rFonts w:ascii="Times New Roman" w:hAnsi="Times New Roman" w:cs="Times New Roman"/>
                <w:sz w:val="24"/>
                <w:szCs w:val="24"/>
              </w:rPr>
              <w:t>.м</w:t>
            </w:r>
            <w:proofErr w:type="gramEnd"/>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12</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18</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Доски подоконные ПВХ, шириной 250 мм</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м</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12</w:t>
            </w:r>
          </w:p>
        </w:tc>
      </w:tr>
      <w:tr w:rsidR="002753C8" w:rsidTr="002E2255">
        <w:trPr>
          <w:trHeight w:val="684"/>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19</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Смена обделок из листовой стали (поясков, </w:t>
            </w:r>
            <w:proofErr w:type="spellStart"/>
            <w:r w:rsidRPr="002753C8">
              <w:rPr>
                <w:rFonts w:ascii="Times New Roman" w:hAnsi="Times New Roman" w:cs="Times New Roman"/>
                <w:sz w:val="24"/>
                <w:szCs w:val="24"/>
              </w:rPr>
              <w:t>сандриков</w:t>
            </w:r>
            <w:proofErr w:type="spellEnd"/>
            <w:r w:rsidRPr="002753C8">
              <w:rPr>
                <w:rFonts w:ascii="Times New Roman" w:hAnsi="Times New Roman" w:cs="Times New Roman"/>
                <w:sz w:val="24"/>
                <w:szCs w:val="24"/>
              </w:rPr>
              <w:t>, отливов, карнизов) шириной: до 0,4 м</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м</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12</w:t>
            </w:r>
          </w:p>
        </w:tc>
      </w:tr>
      <w:tr w:rsidR="002753C8" w:rsidTr="002753C8">
        <w:trPr>
          <w:trHeight w:val="76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20</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Облицовка оконных и дверных откосов декоративным бумажно-слоистым пластиком или листами из синтетических материалов на клее</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облицовки</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3</w:t>
            </w:r>
          </w:p>
        </w:tc>
      </w:tr>
      <w:tr w:rsidR="002753C8" w:rsidTr="002753C8">
        <w:trPr>
          <w:trHeight w:val="102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21</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proofErr w:type="spellStart"/>
            <w:proofErr w:type="gramStart"/>
            <w:r w:rsidRPr="002753C8">
              <w:rPr>
                <w:rFonts w:ascii="Times New Roman" w:hAnsi="Times New Roman" w:cs="Times New Roman"/>
                <w:sz w:val="24"/>
                <w:szCs w:val="24"/>
              </w:rPr>
              <w:t>Сэндвич-панели</w:t>
            </w:r>
            <w:proofErr w:type="spellEnd"/>
            <w:proofErr w:type="gramEnd"/>
            <w:r w:rsidRPr="002753C8">
              <w:rPr>
                <w:rFonts w:ascii="Times New Roman" w:hAnsi="Times New Roman" w:cs="Times New Roman"/>
                <w:sz w:val="24"/>
                <w:szCs w:val="24"/>
              </w:rPr>
              <w:t xml:space="preserve"> для откосов (наружные слои – листы из поливинилхлорида, внутреннее наполнение – вспененный </w:t>
            </w:r>
            <w:proofErr w:type="spellStart"/>
            <w:r w:rsidRPr="002753C8">
              <w:rPr>
                <w:rFonts w:ascii="Times New Roman" w:hAnsi="Times New Roman" w:cs="Times New Roman"/>
                <w:sz w:val="24"/>
                <w:szCs w:val="24"/>
              </w:rPr>
              <w:t>пенополистирол</w:t>
            </w:r>
            <w:proofErr w:type="spellEnd"/>
            <w:r w:rsidRPr="002753C8">
              <w:rPr>
                <w:rFonts w:ascii="Times New Roman" w:hAnsi="Times New Roman" w:cs="Times New Roman"/>
                <w:sz w:val="24"/>
                <w:szCs w:val="24"/>
              </w:rPr>
              <w:t>) белые, ширина 1,5 м, длина 3,0 м, толщина 10 мм</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3</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22</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Установка уголков ПВХ на клее</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п. </w:t>
            </w: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12</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23</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Уголок ПВХ, размером 30х30 мм</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п</w:t>
            </w:r>
            <w:proofErr w:type="gramStart"/>
            <w:r w:rsidRPr="002753C8">
              <w:rPr>
                <w:rFonts w:ascii="Times New Roman" w:hAnsi="Times New Roman" w:cs="Times New Roman"/>
                <w:sz w:val="24"/>
                <w:szCs w:val="24"/>
              </w:rPr>
              <w:t>.м</w:t>
            </w:r>
            <w:proofErr w:type="gramEnd"/>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12</w:t>
            </w:r>
          </w:p>
        </w:tc>
      </w:tr>
      <w:tr w:rsidR="002753C8" w:rsidTr="002753C8">
        <w:trPr>
          <w:trHeight w:val="38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A943C5" w:rsidP="002753C8">
            <w:pPr>
              <w:rPr>
                <w:rFonts w:ascii="Times New Roman" w:hAnsi="Times New Roman" w:cs="Times New Roman"/>
                <w:sz w:val="24"/>
                <w:szCs w:val="24"/>
              </w:rPr>
            </w:pPr>
            <w:r>
              <w:rPr>
                <w:rFonts w:ascii="Times New Roman" w:hAnsi="Times New Roman" w:cs="Times New Roman"/>
                <w:sz w:val="24"/>
                <w:szCs w:val="24"/>
              </w:rPr>
              <w:t>Д</w:t>
            </w:r>
            <w:r w:rsidR="002753C8" w:rsidRPr="002753C8">
              <w:rPr>
                <w:rFonts w:ascii="Times New Roman" w:hAnsi="Times New Roman" w:cs="Times New Roman"/>
                <w:sz w:val="24"/>
                <w:szCs w:val="24"/>
              </w:rPr>
              <w:t>вери</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24</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Разборка деревянных заполнений проемов: дверных и </w:t>
            </w:r>
            <w:r w:rsidRPr="002E2255">
              <w:rPr>
                <w:rFonts w:ascii="Times New Roman" w:hAnsi="Times New Roman" w:cs="Times New Roman"/>
                <w:sz w:val="24"/>
                <w:szCs w:val="24"/>
              </w:rPr>
              <w:lastRenderedPageBreak/>
              <w:t>воротных</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lastRenderedPageBreak/>
              <w:t>м</w:t>
            </w:r>
            <w:proofErr w:type="gramEnd"/>
            <w:r w:rsidRPr="002753C8">
              <w:rPr>
                <w:rFonts w:ascii="Times New Roman" w:hAnsi="Times New Roman" w:cs="Times New Roman"/>
                <w:sz w:val="24"/>
                <w:szCs w:val="24"/>
              </w:rPr>
              <w:t>²</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10</w:t>
            </w:r>
          </w:p>
        </w:tc>
      </w:tr>
      <w:tr w:rsidR="002753C8" w:rsidTr="002753C8">
        <w:trPr>
          <w:trHeight w:val="76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lastRenderedPageBreak/>
              <w:t>25</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Установка блоков в наружных и внутренних дверных проемах: в перегородках и деревянных </w:t>
            </w:r>
            <w:proofErr w:type="spellStart"/>
            <w:r w:rsidRPr="002753C8">
              <w:rPr>
                <w:rFonts w:ascii="Times New Roman" w:hAnsi="Times New Roman" w:cs="Times New Roman"/>
                <w:sz w:val="24"/>
                <w:szCs w:val="24"/>
              </w:rPr>
              <w:t>нерубленых</w:t>
            </w:r>
            <w:proofErr w:type="spellEnd"/>
            <w:r w:rsidRPr="002753C8">
              <w:rPr>
                <w:rFonts w:ascii="Times New Roman" w:hAnsi="Times New Roman" w:cs="Times New Roman"/>
                <w:sz w:val="24"/>
                <w:szCs w:val="24"/>
              </w:rPr>
              <w:t xml:space="preserve"> стенах, площадь проема до 3 м</w:t>
            </w:r>
            <w:proofErr w:type="gramStart"/>
            <w:r w:rsidRPr="002753C8">
              <w:rPr>
                <w:rFonts w:ascii="Times New Roman" w:hAnsi="Times New Roman" w:cs="Times New Roman"/>
                <w:sz w:val="24"/>
                <w:szCs w:val="24"/>
              </w:rPr>
              <w:t>2</w:t>
            </w:r>
            <w:proofErr w:type="gramEnd"/>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10</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26</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Блоки дверные </w:t>
            </w:r>
            <w:proofErr w:type="spellStart"/>
            <w:r w:rsidRPr="002753C8">
              <w:rPr>
                <w:rFonts w:ascii="Times New Roman" w:hAnsi="Times New Roman" w:cs="Times New Roman"/>
                <w:sz w:val="24"/>
                <w:szCs w:val="24"/>
              </w:rPr>
              <w:t>однопольные</w:t>
            </w:r>
            <w:proofErr w:type="spellEnd"/>
            <w:r w:rsidRPr="002753C8">
              <w:rPr>
                <w:rFonts w:ascii="Times New Roman" w:hAnsi="Times New Roman" w:cs="Times New Roman"/>
                <w:sz w:val="24"/>
                <w:szCs w:val="24"/>
              </w:rPr>
              <w:t xml:space="preserve"> с полотном глухим ДГ 21-7, площадь 1,39 м</w:t>
            </w:r>
            <w:proofErr w:type="gramStart"/>
            <w:r w:rsidRPr="002753C8">
              <w:rPr>
                <w:rFonts w:ascii="Times New Roman" w:hAnsi="Times New Roman" w:cs="Times New Roman"/>
                <w:sz w:val="24"/>
                <w:szCs w:val="24"/>
              </w:rPr>
              <w:t>2</w:t>
            </w:r>
            <w:proofErr w:type="gramEnd"/>
            <w:r w:rsidRPr="002753C8">
              <w:rPr>
                <w:rFonts w:ascii="Times New Roman" w:hAnsi="Times New Roman" w:cs="Times New Roman"/>
                <w:sz w:val="24"/>
                <w:szCs w:val="24"/>
              </w:rPr>
              <w:t>; ДГ 21-8, площадь 1,59 м2</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2,8</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27</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Блоки дверные </w:t>
            </w:r>
            <w:proofErr w:type="spellStart"/>
            <w:r w:rsidRPr="002753C8">
              <w:rPr>
                <w:rFonts w:ascii="Times New Roman" w:hAnsi="Times New Roman" w:cs="Times New Roman"/>
                <w:sz w:val="24"/>
                <w:szCs w:val="24"/>
              </w:rPr>
              <w:t>однопольные</w:t>
            </w:r>
            <w:proofErr w:type="spellEnd"/>
            <w:r w:rsidRPr="002753C8">
              <w:rPr>
                <w:rFonts w:ascii="Times New Roman" w:hAnsi="Times New Roman" w:cs="Times New Roman"/>
                <w:sz w:val="24"/>
                <w:szCs w:val="24"/>
              </w:rPr>
              <w:t xml:space="preserve"> с полотном глухим ДГ 21-9, площадь 1,80 м</w:t>
            </w:r>
            <w:proofErr w:type="gramStart"/>
            <w:r w:rsidRPr="002753C8">
              <w:rPr>
                <w:rFonts w:ascii="Times New Roman" w:hAnsi="Times New Roman" w:cs="Times New Roman"/>
                <w:sz w:val="24"/>
                <w:szCs w:val="24"/>
              </w:rPr>
              <w:t>2</w:t>
            </w:r>
            <w:proofErr w:type="gramEnd"/>
            <w:r w:rsidRPr="002753C8">
              <w:rPr>
                <w:rFonts w:ascii="Times New Roman" w:hAnsi="Times New Roman" w:cs="Times New Roman"/>
                <w:sz w:val="24"/>
                <w:szCs w:val="24"/>
              </w:rPr>
              <w:t>; ДГ 21-10, площадь 2,01 м2</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7,2</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28</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Скобяные изделия для блоков входных дверей в помещение </w:t>
            </w:r>
            <w:proofErr w:type="spellStart"/>
            <w:r w:rsidRPr="002753C8">
              <w:rPr>
                <w:rFonts w:ascii="Times New Roman" w:hAnsi="Times New Roman" w:cs="Times New Roman"/>
                <w:sz w:val="24"/>
                <w:szCs w:val="24"/>
              </w:rPr>
              <w:t>однопольных</w:t>
            </w:r>
            <w:proofErr w:type="spellEnd"/>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spellStart"/>
            <w:r w:rsidRPr="002753C8">
              <w:rPr>
                <w:rFonts w:ascii="Times New Roman" w:hAnsi="Times New Roman" w:cs="Times New Roman"/>
                <w:sz w:val="24"/>
                <w:szCs w:val="24"/>
              </w:rPr>
              <w:t>компл</w:t>
            </w:r>
            <w:proofErr w:type="spellEnd"/>
            <w:r w:rsidRPr="002753C8">
              <w:rPr>
                <w:rFonts w:ascii="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5</w:t>
            </w:r>
          </w:p>
        </w:tc>
      </w:tr>
      <w:tr w:rsidR="002753C8" w:rsidTr="002753C8">
        <w:trPr>
          <w:trHeight w:val="38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Прочие работы</w:t>
            </w:r>
          </w:p>
        </w:tc>
      </w:tr>
      <w:tr w:rsidR="002753C8" w:rsidTr="002753C8">
        <w:trPr>
          <w:trHeight w:val="859"/>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29</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Окраска масляными составами ранее окрашенных поверхностей радиаторов и ребристых труб отопления: за 2 раза</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 окрашиваемой поверхности</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0,104</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30</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Окраска масляными составами ранее окрашенных поверхностей труб: стальных за 2 раза</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²</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1,2</w:t>
            </w:r>
          </w:p>
        </w:tc>
      </w:tr>
      <w:tr w:rsidR="002753C8" w:rsidTr="002753C8">
        <w:trPr>
          <w:trHeight w:val="450"/>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bCs/>
                <w:sz w:val="24"/>
                <w:szCs w:val="24"/>
              </w:rPr>
            </w:pPr>
            <w:r w:rsidRPr="002753C8">
              <w:rPr>
                <w:rFonts w:ascii="Times New Roman" w:hAnsi="Times New Roman" w:cs="Times New Roman"/>
                <w:bCs/>
                <w:sz w:val="24"/>
                <w:szCs w:val="24"/>
              </w:rPr>
              <w:t xml:space="preserve"> Электромонтажные работы</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31</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Демонтаж: скрытой электропроводки</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м</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100</w:t>
            </w:r>
          </w:p>
        </w:tc>
      </w:tr>
      <w:tr w:rsidR="002753C8" w:rsidTr="002753C8">
        <w:trPr>
          <w:trHeight w:val="62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32</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Провод групповой осветительных сетей в защитной оболочке или кабель </w:t>
            </w:r>
            <w:proofErr w:type="spellStart"/>
            <w:proofErr w:type="gramStart"/>
            <w:r w:rsidRPr="002753C8">
              <w:rPr>
                <w:rFonts w:ascii="Times New Roman" w:hAnsi="Times New Roman" w:cs="Times New Roman"/>
                <w:sz w:val="24"/>
                <w:szCs w:val="24"/>
              </w:rPr>
              <w:t>двух-трехжильный</w:t>
            </w:r>
            <w:proofErr w:type="spellEnd"/>
            <w:proofErr w:type="gramEnd"/>
            <w:r w:rsidRPr="002753C8">
              <w:rPr>
                <w:rFonts w:ascii="Times New Roman" w:hAnsi="Times New Roman" w:cs="Times New Roman"/>
                <w:sz w:val="24"/>
                <w:szCs w:val="24"/>
              </w:rPr>
              <w:t>: в готовых каналах стен и перекрытий</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м</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w:t>
            </w:r>
          </w:p>
        </w:tc>
      </w:tr>
      <w:tr w:rsidR="002753C8" w:rsidTr="002753C8">
        <w:trPr>
          <w:trHeight w:val="71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33</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Кабель силовой с медными жилами с поливинилхлоридной изоляцией в поливинилхлоридной оболочке без защитного покрова ВВГ, напряжением 0,66</w:t>
            </w:r>
            <w:proofErr w:type="gramStart"/>
            <w:r w:rsidRPr="002753C8">
              <w:rPr>
                <w:rFonts w:ascii="Times New Roman" w:hAnsi="Times New Roman" w:cs="Times New Roman"/>
                <w:sz w:val="24"/>
                <w:szCs w:val="24"/>
              </w:rPr>
              <w:t xml:space="preserve"> </w:t>
            </w:r>
            <w:proofErr w:type="spellStart"/>
            <w:r w:rsidRPr="002753C8">
              <w:rPr>
                <w:rFonts w:ascii="Times New Roman" w:hAnsi="Times New Roman" w:cs="Times New Roman"/>
                <w:sz w:val="24"/>
                <w:szCs w:val="24"/>
              </w:rPr>
              <w:t>К</w:t>
            </w:r>
            <w:proofErr w:type="gramEnd"/>
            <w:r w:rsidRPr="002753C8">
              <w:rPr>
                <w:rFonts w:ascii="Times New Roman" w:hAnsi="Times New Roman" w:cs="Times New Roman"/>
                <w:sz w:val="24"/>
                <w:szCs w:val="24"/>
              </w:rPr>
              <w:t>в</w:t>
            </w:r>
            <w:proofErr w:type="spellEnd"/>
            <w:r w:rsidRPr="002753C8">
              <w:rPr>
                <w:rFonts w:ascii="Times New Roman" w:hAnsi="Times New Roman" w:cs="Times New Roman"/>
                <w:sz w:val="24"/>
                <w:szCs w:val="24"/>
              </w:rPr>
              <w:t>, число жил – 3 и сечением 2,5 мм2</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ind w:left="563" w:hanging="563"/>
              <w:jc w:val="center"/>
              <w:rPr>
                <w:rFonts w:ascii="Times New Roman" w:hAnsi="Times New Roman" w:cs="Times New Roman"/>
                <w:sz w:val="24"/>
                <w:szCs w:val="24"/>
              </w:rPr>
            </w:pPr>
            <w:r w:rsidRPr="002753C8">
              <w:rPr>
                <w:rFonts w:ascii="Times New Roman" w:hAnsi="Times New Roman" w:cs="Times New Roman"/>
                <w:sz w:val="24"/>
                <w:szCs w:val="24"/>
              </w:rPr>
              <w:t>м</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100</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34</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Смена: выключателей</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шт.</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7</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35</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Смена: розеток</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шт.</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8</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36</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Смена электросчетчиков</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шт.</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100</w:t>
            </w:r>
          </w:p>
        </w:tc>
      </w:tr>
      <w:tr w:rsidR="002753C8" w:rsidTr="002753C8">
        <w:trPr>
          <w:trHeight w:val="450"/>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bCs/>
                <w:sz w:val="24"/>
                <w:szCs w:val="24"/>
              </w:rPr>
            </w:pPr>
            <w:r w:rsidRPr="002753C8">
              <w:rPr>
                <w:rFonts w:ascii="Times New Roman" w:hAnsi="Times New Roman" w:cs="Times New Roman"/>
                <w:bCs/>
                <w:sz w:val="24"/>
                <w:szCs w:val="24"/>
              </w:rPr>
              <w:t>Сантехнические работы</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37</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 xml:space="preserve">Смена: </w:t>
            </w:r>
            <w:proofErr w:type="spellStart"/>
            <w:r w:rsidRPr="002753C8">
              <w:rPr>
                <w:rFonts w:ascii="Times New Roman" w:hAnsi="Times New Roman" w:cs="Times New Roman"/>
                <w:sz w:val="24"/>
                <w:szCs w:val="24"/>
              </w:rPr>
              <w:t>полотенцесушителей</w:t>
            </w:r>
            <w:proofErr w:type="spellEnd"/>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приборов</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w:t>
            </w:r>
          </w:p>
        </w:tc>
      </w:tr>
      <w:tr w:rsidR="002753C8" w:rsidTr="002753C8">
        <w:trPr>
          <w:trHeight w:val="255"/>
        </w:trPr>
        <w:tc>
          <w:tcPr>
            <w:tcW w:w="655" w:type="dxa"/>
            <w:tcBorders>
              <w:top w:val="single" w:sz="4" w:space="0" w:color="auto"/>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38</w:t>
            </w:r>
          </w:p>
        </w:tc>
        <w:tc>
          <w:tcPr>
            <w:tcW w:w="6306"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Смена смесителей: с душевой сеткой</w:t>
            </w:r>
          </w:p>
        </w:tc>
        <w:tc>
          <w:tcPr>
            <w:tcW w:w="1701"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шт.</w:t>
            </w:r>
          </w:p>
        </w:tc>
        <w:tc>
          <w:tcPr>
            <w:tcW w:w="1276"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39</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Установка смесителей</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шт.</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10</w:t>
            </w:r>
          </w:p>
        </w:tc>
      </w:tr>
      <w:tr w:rsidR="002753C8" w:rsidTr="002E2255">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40</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Смена: раковин</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приборов</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w:t>
            </w:r>
          </w:p>
        </w:tc>
      </w:tr>
      <w:tr w:rsidR="002753C8" w:rsidTr="002E2255">
        <w:trPr>
          <w:trHeight w:val="255"/>
        </w:trPr>
        <w:tc>
          <w:tcPr>
            <w:tcW w:w="655" w:type="dxa"/>
            <w:tcBorders>
              <w:top w:val="single" w:sz="4" w:space="0" w:color="auto"/>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lastRenderedPageBreak/>
              <w:t>41</w:t>
            </w:r>
          </w:p>
        </w:tc>
        <w:tc>
          <w:tcPr>
            <w:tcW w:w="6306"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Смена: ванн чугунных</w:t>
            </w:r>
          </w:p>
        </w:tc>
        <w:tc>
          <w:tcPr>
            <w:tcW w:w="1701"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 xml:space="preserve"> приборов</w:t>
            </w:r>
          </w:p>
        </w:tc>
        <w:tc>
          <w:tcPr>
            <w:tcW w:w="1276" w:type="dxa"/>
            <w:tcBorders>
              <w:top w:val="single" w:sz="4" w:space="0" w:color="auto"/>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w:t>
            </w:r>
          </w:p>
        </w:tc>
      </w:tr>
      <w:tr w:rsidR="002753C8" w:rsidTr="002753C8">
        <w:trPr>
          <w:trHeight w:val="76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42</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Установка решеток жалюзийных стальных: щелевых регулирующих (Р), номер 200, размер 200х200 мм</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 решетка</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2</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43</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Замена газовой плиты без изменения подводки с пуском газа и регулировкой работы горелок плиты</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плита</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1</w:t>
            </w:r>
          </w:p>
        </w:tc>
      </w:tr>
      <w:tr w:rsidR="002753C8" w:rsidTr="002753C8">
        <w:trPr>
          <w:trHeight w:val="510"/>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w:t>
            </w:r>
            <w:r>
              <w:rPr>
                <w:rFonts w:ascii="Times New Roman" w:hAnsi="Times New Roman" w:cs="Times New Roman"/>
                <w:sz w:val="24"/>
                <w:szCs w:val="24"/>
              </w:rPr>
              <w:t>4</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Установка счетчиков (водомеров) диаметром: до 40 мм</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 счетчик (водомер)</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2</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w:t>
            </w:r>
            <w:r>
              <w:rPr>
                <w:rFonts w:ascii="Times New Roman" w:hAnsi="Times New Roman" w:cs="Times New Roman"/>
                <w:sz w:val="24"/>
                <w:szCs w:val="24"/>
              </w:rPr>
              <w:t>5</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Счетчик ф15 MINOL</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ind w:left="252" w:hanging="252"/>
              <w:jc w:val="center"/>
              <w:rPr>
                <w:rFonts w:ascii="Times New Roman" w:hAnsi="Times New Roman" w:cs="Times New Roman"/>
                <w:sz w:val="24"/>
                <w:szCs w:val="24"/>
              </w:rPr>
            </w:pPr>
            <w:r w:rsidRPr="002753C8">
              <w:rPr>
                <w:rFonts w:ascii="Times New Roman" w:hAnsi="Times New Roman" w:cs="Times New Roman"/>
                <w:sz w:val="24"/>
                <w:szCs w:val="24"/>
              </w:rPr>
              <w:t>шт.</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2</w:t>
            </w:r>
          </w:p>
        </w:tc>
      </w:tr>
      <w:tr w:rsidR="002753C8" w:rsidTr="002753C8">
        <w:trPr>
          <w:trHeight w:val="38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Прочие работы</w:t>
            </w:r>
          </w:p>
        </w:tc>
      </w:tr>
      <w:tr w:rsidR="002753C8" w:rsidTr="002753C8">
        <w:trPr>
          <w:trHeight w:val="76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w:t>
            </w:r>
            <w:r>
              <w:rPr>
                <w:rFonts w:ascii="Times New Roman" w:hAnsi="Times New Roman" w:cs="Times New Roman"/>
                <w:sz w:val="24"/>
                <w:szCs w:val="24"/>
              </w:rPr>
              <w:t>6</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 т груза</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2</w:t>
            </w:r>
          </w:p>
        </w:tc>
      </w:tr>
      <w:tr w:rsidR="002753C8" w:rsidTr="002753C8">
        <w:trPr>
          <w:trHeight w:val="76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w:t>
            </w:r>
            <w:r>
              <w:rPr>
                <w:rFonts w:ascii="Times New Roman" w:hAnsi="Times New Roman" w:cs="Times New Roman"/>
                <w:sz w:val="24"/>
                <w:szCs w:val="24"/>
              </w:rPr>
              <w:t>7</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1 т груза</w:t>
            </w:r>
          </w:p>
        </w:tc>
        <w:tc>
          <w:tcPr>
            <w:tcW w:w="1276" w:type="dxa"/>
            <w:tcBorders>
              <w:top w:val="nil"/>
              <w:left w:val="nil"/>
              <w:bottom w:val="single" w:sz="4" w:space="0" w:color="auto"/>
              <w:right w:val="single" w:sz="4" w:space="0" w:color="auto"/>
            </w:tcBorders>
            <w:shd w:val="clear" w:color="auto" w:fill="auto"/>
            <w:noWrap/>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2</w:t>
            </w:r>
          </w:p>
        </w:tc>
      </w:tr>
      <w:tr w:rsidR="002753C8" w:rsidTr="002753C8">
        <w:trPr>
          <w:trHeight w:val="255"/>
        </w:trPr>
        <w:tc>
          <w:tcPr>
            <w:tcW w:w="655" w:type="dxa"/>
            <w:tcBorders>
              <w:top w:val="nil"/>
              <w:left w:val="single" w:sz="4" w:space="0" w:color="auto"/>
              <w:bottom w:val="single" w:sz="4" w:space="0" w:color="auto"/>
              <w:right w:val="single" w:sz="4" w:space="0" w:color="auto"/>
            </w:tcBorders>
            <w:shd w:val="clear" w:color="auto" w:fill="auto"/>
            <w:noWrap/>
          </w:tcPr>
          <w:p w:rsidR="002753C8" w:rsidRPr="002753C8" w:rsidRDefault="002753C8" w:rsidP="002753C8">
            <w:pPr>
              <w:jc w:val="center"/>
              <w:rPr>
                <w:rFonts w:ascii="Times New Roman" w:hAnsi="Times New Roman" w:cs="Times New Roman"/>
                <w:sz w:val="24"/>
                <w:szCs w:val="24"/>
              </w:rPr>
            </w:pPr>
            <w:r w:rsidRPr="002753C8">
              <w:rPr>
                <w:rFonts w:ascii="Times New Roman" w:hAnsi="Times New Roman" w:cs="Times New Roman"/>
                <w:sz w:val="24"/>
                <w:szCs w:val="24"/>
              </w:rPr>
              <w:t>4</w:t>
            </w:r>
            <w:r>
              <w:rPr>
                <w:rFonts w:ascii="Times New Roman" w:hAnsi="Times New Roman" w:cs="Times New Roman"/>
                <w:sz w:val="24"/>
                <w:szCs w:val="24"/>
              </w:rPr>
              <w:t>8</w:t>
            </w:r>
          </w:p>
        </w:tc>
        <w:tc>
          <w:tcPr>
            <w:tcW w:w="6306" w:type="dxa"/>
            <w:tcBorders>
              <w:top w:val="nil"/>
              <w:left w:val="nil"/>
              <w:bottom w:val="single" w:sz="4" w:space="0" w:color="auto"/>
              <w:right w:val="single" w:sz="4" w:space="0" w:color="auto"/>
            </w:tcBorders>
            <w:shd w:val="clear" w:color="auto" w:fill="auto"/>
          </w:tcPr>
          <w:p w:rsidR="002753C8" w:rsidRPr="002753C8" w:rsidRDefault="002753C8" w:rsidP="002753C8">
            <w:pPr>
              <w:rPr>
                <w:rFonts w:ascii="Times New Roman" w:hAnsi="Times New Roman" w:cs="Times New Roman"/>
                <w:sz w:val="24"/>
                <w:szCs w:val="24"/>
              </w:rPr>
            </w:pPr>
            <w:r w:rsidRPr="002753C8">
              <w:rPr>
                <w:rFonts w:ascii="Times New Roman" w:hAnsi="Times New Roman" w:cs="Times New Roman"/>
                <w:sz w:val="24"/>
                <w:szCs w:val="24"/>
              </w:rPr>
              <w:t>Утилизация ТБО (169,93/1,1/1,18=130,92)</w:t>
            </w:r>
          </w:p>
        </w:tc>
        <w:tc>
          <w:tcPr>
            <w:tcW w:w="1701" w:type="dxa"/>
            <w:tcBorders>
              <w:top w:val="nil"/>
              <w:left w:val="nil"/>
              <w:bottom w:val="single" w:sz="4" w:space="0" w:color="auto"/>
              <w:right w:val="single" w:sz="4" w:space="0" w:color="auto"/>
            </w:tcBorders>
            <w:shd w:val="clear" w:color="auto" w:fill="auto"/>
          </w:tcPr>
          <w:p w:rsidR="002753C8" w:rsidRPr="002753C8" w:rsidRDefault="002753C8" w:rsidP="002753C8">
            <w:pPr>
              <w:jc w:val="center"/>
              <w:rPr>
                <w:rFonts w:ascii="Times New Roman" w:hAnsi="Times New Roman" w:cs="Times New Roman"/>
                <w:sz w:val="24"/>
                <w:szCs w:val="24"/>
              </w:rPr>
            </w:pPr>
            <w:proofErr w:type="gramStart"/>
            <w:r w:rsidRPr="002753C8">
              <w:rPr>
                <w:rFonts w:ascii="Times New Roman" w:hAnsi="Times New Roman" w:cs="Times New Roman"/>
                <w:sz w:val="24"/>
                <w:szCs w:val="24"/>
              </w:rPr>
              <w:t>м</w:t>
            </w:r>
            <w:proofErr w:type="gramEnd"/>
            <w:r w:rsidRPr="002753C8">
              <w:rPr>
                <w:rFonts w:ascii="Times New Roman" w:hAnsi="Times New Roman" w:cs="Times New Roman"/>
                <w:sz w:val="24"/>
                <w:szCs w:val="24"/>
              </w:rPr>
              <w:t>³</w:t>
            </w:r>
          </w:p>
        </w:tc>
        <w:tc>
          <w:tcPr>
            <w:tcW w:w="1276" w:type="dxa"/>
            <w:tcBorders>
              <w:top w:val="nil"/>
              <w:left w:val="nil"/>
              <w:bottom w:val="single" w:sz="4" w:space="0" w:color="auto"/>
              <w:right w:val="single" w:sz="4" w:space="0" w:color="auto"/>
            </w:tcBorders>
            <w:shd w:val="clear" w:color="auto" w:fill="auto"/>
          </w:tcPr>
          <w:p w:rsidR="002753C8" w:rsidRPr="002753C8" w:rsidRDefault="002753C8" w:rsidP="002753C8">
            <w:pPr>
              <w:jc w:val="right"/>
              <w:rPr>
                <w:rFonts w:ascii="Times New Roman" w:hAnsi="Times New Roman" w:cs="Times New Roman"/>
                <w:sz w:val="24"/>
                <w:szCs w:val="24"/>
              </w:rPr>
            </w:pPr>
            <w:r w:rsidRPr="002753C8">
              <w:rPr>
                <w:rFonts w:ascii="Times New Roman" w:hAnsi="Times New Roman" w:cs="Times New Roman"/>
                <w:sz w:val="24"/>
                <w:szCs w:val="24"/>
              </w:rPr>
              <w:t>2,4</w:t>
            </w:r>
          </w:p>
        </w:tc>
      </w:tr>
    </w:tbl>
    <w:p w:rsidR="002753C8" w:rsidRDefault="002753C8" w:rsidP="0008103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rsidR="0008103B" w:rsidRPr="0008103B" w:rsidRDefault="0008103B" w:rsidP="0008103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8103B">
        <w:rPr>
          <w:rFonts w:ascii="Times New Roman" w:eastAsia="Calibri" w:hAnsi="Times New Roman" w:cs="Times New Roman"/>
          <w:color w:val="000000"/>
          <w:sz w:val="24"/>
          <w:szCs w:val="24"/>
          <w:lang w:eastAsia="en-US"/>
        </w:rPr>
        <w:t xml:space="preserve">Товары и материалы должны быть новыми, не восстановленными, </w:t>
      </w:r>
      <w:r w:rsidRPr="0008103B">
        <w:rPr>
          <w:rFonts w:ascii="Times New Roman" w:eastAsia="Calibri" w:hAnsi="Times New Roman" w:cs="Times New Roman"/>
          <w:color w:val="000000"/>
          <w:sz w:val="24"/>
          <w:szCs w:val="24"/>
          <w:shd w:val="clear" w:color="auto" w:fill="FFFFFF"/>
          <w:lang w:eastAsia="en-US"/>
        </w:rPr>
        <w:t>не иметь дефектов, обеспечивать предусмотренные производителем функции, соответствовать стандартам качества и безопасности,</w:t>
      </w:r>
      <w:r w:rsidRPr="0008103B">
        <w:rPr>
          <w:rFonts w:ascii="Times New Roman" w:eastAsia="Calibri" w:hAnsi="Times New Roman" w:cs="Times New Roman"/>
          <w:color w:val="000000"/>
          <w:sz w:val="24"/>
          <w:szCs w:val="24"/>
          <w:lang w:eastAsia="en-US"/>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08103B" w:rsidRPr="0008103B" w:rsidRDefault="0008103B" w:rsidP="0008103B">
      <w:pPr>
        <w:spacing w:after="0" w:line="240" w:lineRule="auto"/>
        <w:ind w:firstLine="709"/>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Все указания в отношении товарных знаков читать со словами «или эквивалент».</w:t>
      </w:r>
    </w:p>
    <w:p w:rsidR="0008103B" w:rsidRPr="0008103B" w:rsidRDefault="0008103B" w:rsidP="0008103B">
      <w:pPr>
        <w:spacing w:after="0" w:line="240" w:lineRule="auto"/>
        <w:jc w:val="both"/>
        <w:rPr>
          <w:rFonts w:ascii="Times New Roman" w:eastAsia="Times New Roman" w:hAnsi="Times New Roman" w:cs="Times New Roman"/>
          <w:bCs/>
        </w:rPr>
      </w:pP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 Общие требования к качественным и количественным характеристикам, результатам выполняемых работ.</w:t>
      </w: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2.1. Соответствие выполняемых работ объемам, представленным заказчиком в утвержденной сметной документации и </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(строительные нормы и правила). </w:t>
      </w: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2.2. Соблюдение норм и правил охраны окружающей среды, требований безопасности, охраны труда и санитарно-гигиенического режима в ремонтируемых помещениях (в том числе обеспечение низкого уровня шума), обеспечение выполнения правил пожарной безопасности.</w:t>
      </w:r>
    </w:p>
    <w:p w:rsidR="0008103B" w:rsidRPr="0008103B" w:rsidRDefault="0008103B" w:rsidP="00F94C08">
      <w:pPr>
        <w:spacing w:after="0" w:line="240" w:lineRule="auto"/>
        <w:ind w:left="11"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2.3. Назначение ответственного лица за проведение работ и соблюдение вышеуказанных правил (копия приказа о назначении представляется заказчику).</w:t>
      </w:r>
    </w:p>
    <w:p w:rsidR="0008103B" w:rsidRPr="0008103B" w:rsidRDefault="0008103B" w:rsidP="00F94C08">
      <w:pPr>
        <w:spacing w:after="0" w:line="240" w:lineRule="auto"/>
        <w:ind w:left="11"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2.4. С</w:t>
      </w:r>
      <w:r w:rsidRPr="0008103B">
        <w:rPr>
          <w:rFonts w:ascii="Times New Roman" w:eastAsia="Times New Roman" w:hAnsi="Times New Roman" w:cs="Times New Roman"/>
          <w:sz w:val="24"/>
          <w:szCs w:val="24"/>
        </w:rPr>
        <w:t>облюдение правил привлечения и использования иностранной и иногородней рабочей силы, установленных законодательством Российской Федерации и нормативными правовыми актами Алтайского края;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highlight w:val="yellow"/>
        </w:rPr>
      </w:pPr>
      <w:r w:rsidRPr="0008103B">
        <w:rPr>
          <w:rFonts w:ascii="Times New Roman" w:eastAsia="Times New Roman" w:hAnsi="Times New Roman" w:cs="Times New Roman"/>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3.1. Работы должны производиться в соответствии с требованиями: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3.04.01-87. Изоляционные и отделочные покрытия»;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w:t>
      </w:r>
      <w:r w:rsidR="00560476">
        <w:rPr>
          <w:rFonts w:ascii="Times New Roman" w:eastAsia="Times New Roman" w:hAnsi="Times New Roman" w:cs="Times New Roman"/>
          <w:sz w:val="24"/>
          <w:szCs w:val="24"/>
        </w:rPr>
        <w:t>П 28.13330</w:t>
      </w:r>
      <w:r w:rsidRPr="0008103B">
        <w:rPr>
          <w:rFonts w:ascii="Times New Roman" w:eastAsia="Times New Roman" w:hAnsi="Times New Roman" w:cs="Times New Roman"/>
          <w:sz w:val="24"/>
          <w:szCs w:val="24"/>
        </w:rPr>
        <w:t>.</w:t>
      </w:r>
      <w:r w:rsidR="00560476">
        <w:rPr>
          <w:rFonts w:ascii="Times New Roman" w:eastAsia="Times New Roman" w:hAnsi="Times New Roman" w:cs="Times New Roman"/>
          <w:sz w:val="24"/>
          <w:szCs w:val="24"/>
        </w:rPr>
        <w:t xml:space="preserve">2017 </w:t>
      </w:r>
      <w:r w:rsidRPr="0008103B">
        <w:rPr>
          <w:rFonts w:ascii="Times New Roman" w:eastAsia="Times New Roman" w:hAnsi="Times New Roman" w:cs="Times New Roman"/>
          <w:sz w:val="24"/>
          <w:szCs w:val="24"/>
        </w:rPr>
        <w:t>Защита строительных конструкций от коррозии»;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3.03.01-87. Несущие и ограждающие конструкции»;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lastRenderedPageBreak/>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2.03.13-88. Полы»;</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«СП 76.13330.2016. Электротехнические устройства»;</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3.05.01-85. Внутренние санитарно-технические системы»</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2.04.01-85*. Внутренний водопровод и канализация зданий»</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ГОСТ 6629-88. Межгосударственный стандарт. «Двери деревянные внутренние для жилых и общественных зданий. Типы и конструкция»;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ГОСТ 24698-81 «Двери деревянные наружные для жилых и общественных зданий. Типы, конструкция и размеры»;</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proofErr w:type="spellStart"/>
      <w:r w:rsidRPr="0008103B">
        <w:rPr>
          <w:rFonts w:ascii="Times New Roman" w:eastAsia="Times New Roman" w:hAnsi="Times New Roman" w:cs="Times New Roman"/>
          <w:sz w:val="24"/>
          <w:szCs w:val="24"/>
        </w:rPr>
        <w:t>СанПиН</w:t>
      </w:r>
      <w:proofErr w:type="spellEnd"/>
      <w:r w:rsidRPr="0008103B">
        <w:rPr>
          <w:rFonts w:ascii="Times New Roman" w:eastAsia="Times New Roman" w:hAnsi="Times New Roman" w:cs="Times New Roman"/>
          <w:sz w:val="24"/>
          <w:szCs w:val="24"/>
        </w:rPr>
        <w:t xml:space="preserve"> 42-128-4690-88 «Санитарные правила содержания территорий населенных мест».</w:t>
      </w:r>
    </w:p>
    <w:p w:rsidR="0008103B" w:rsidRPr="0008103B" w:rsidRDefault="0008103B" w:rsidP="00F94C08">
      <w:pPr>
        <w:spacing w:after="0" w:line="240" w:lineRule="auto"/>
        <w:ind w:firstLine="698"/>
        <w:jc w:val="both"/>
        <w:rPr>
          <w:rFonts w:ascii="Times New Roman" w:eastAsia="Times New Roman" w:hAnsi="Times New Roman" w:cs="Times New Roman"/>
          <w:spacing w:val="-12"/>
          <w:sz w:val="24"/>
          <w:szCs w:val="24"/>
        </w:rPr>
      </w:pPr>
      <w:r w:rsidRPr="0008103B">
        <w:rPr>
          <w:rFonts w:ascii="Times New Roman" w:eastAsia="Times New Roman" w:hAnsi="Times New Roman" w:cs="Times New Roman"/>
          <w:bCs/>
          <w:sz w:val="24"/>
          <w:szCs w:val="24"/>
        </w:rPr>
        <w:t xml:space="preserve">3.2. На предприятии должна существовать </w:t>
      </w:r>
      <w:r w:rsidRPr="0008103B">
        <w:rPr>
          <w:rFonts w:ascii="Times New Roman" w:eastAsia="Times New Roman" w:hAnsi="Times New Roman" w:cs="Times New Roman"/>
          <w:sz w:val="24"/>
          <w:szCs w:val="24"/>
        </w:rPr>
        <w:t>система контроля качества  выполненных работ</w:t>
      </w:r>
      <w:r w:rsidRPr="0008103B">
        <w:rPr>
          <w:rFonts w:ascii="Times New Roman" w:eastAsia="Times New Roman" w:hAnsi="Times New Roman" w:cs="Times New Roman"/>
          <w:spacing w:val="-12"/>
          <w:sz w:val="24"/>
          <w:szCs w:val="24"/>
        </w:rPr>
        <w:t xml:space="preserve">. </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08103B">
        <w:rPr>
          <w:rFonts w:ascii="Times New Roman" w:eastAsia="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3.4. Безопасность выполнения работ и безопасность результатов работ должна соответствовать требованиям «</w:t>
      </w:r>
      <w:proofErr w:type="spellStart"/>
      <w:r w:rsidRPr="0008103B">
        <w:rPr>
          <w:rFonts w:ascii="Times New Roman" w:eastAsia="Times New Roman" w:hAnsi="Times New Roman" w:cs="Times New Roman"/>
          <w:bCs/>
          <w:sz w:val="24"/>
          <w:szCs w:val="24"/>
        </w:rPr>
        <w:t>СНиП</w:t>
      </w:r>
      <w:proofErr w:type="spellEnd"/>
      <w:r w:rsidRPr="0008103B">
        <w:rPr>
          <w:rFonts w:ascii="Times New Roman" w:eastAsia="Times New Roman" w:hAnsi="Times New Roman" w:cs="Times New Roman"/>
          <w:bCs/>
          <w:sz w:val="24"/>
          <w:szCs w:val="24"/>
        </w:rPr>
        <w:t xml:space="preserve"> 21-01-97*. Пожарная безопасность зданий и сооружений».</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 xml:space="preserve">3.5. Безопасность выполняемых работ должна соответствовать </w:t>
      </w:r>
      <w:r w:rsidR="00560476">
        <w:rPr>
          <w:rFonts w:ascii="Times New Roman" w:eastAsia="Times New Roman" w:hAnsi="Times New Roman" w:cs="Times New Roman"/>
          <w:bCs/>
          <w:sz w:val="24"/>
          <w:szCs w:val="24"/>
        </w:rPr>
        <w:t xml:space="preserve">требованиям </w:t>
      </w:r>
      <w:r w:rsidRPr="0008103B">
        <w:rPr>
          <w:rFonts w:ascii="Times New Roman" w:eastAsia="Times New Roman" w:hAnsi="Times New Roman" w:cs="Times New Roman"/>
          <w:bCs/>
          <w:sz w:val="24"/>
          <w:szCs w:val="24"/>
        </w:rPr>
        <w:t>Трудово</w:t>
      </w:r>
      <w:r w:rsidR="00560476">
        <w:rPr>
          <w:rFonts w:ascii="Times New Roman" w:eastAsia="Times New Roman" w:hAnsi="Times New Roman" w:cs="Times New Roman"/>
          <w:bCs/>
          <w:sz w:val="24"/>
          <w:szCs w:val="24"/>
        </w:rPr>
        <w:t>го</w:t>
      </w:r>
      <w:r w:rsidRPr="0008103B">
        <w:rPr>
          <w:rFonts w:ascii="Times New Roman" w:eastAsia="Times New Roman" w:hAnsi="Times New Roman" w:cs="Times New Roman"/>
          <w:bCs/>
          <w:sz w:val="24"/>
          <w:szCs w:val="24"/>
        </w:rPr>
        <w:t xml:space="preserve"> кодекс</w:t>
      </w:r>
      <w:r w:rsidR="00560476">
        <w:rPr>
          <w:rFonts w:ascii="Times New Roman" w:eastAsia="Times New Roman" w:hAnsi="Times New Roman" w:cs="Times New Roman"/>
          <w:bCs/>
          <w:sz w:val="24"/>
          <w:szCs w:val="24"/>
        </w:rPr>
        <w:t>а</w:t>
      </w:r>
      <w:r w:rsidRPr="0008103B">
        <w:rPr>
          <w:rFonts w:ascii="Times New Roman" w:eastAsia="Times New Roman" w:hAnsi="Times New Roman" w:cs="Times New Roman"/>
          <w:bCs/>
          <w:sz w:val="24"/>
          <w:szCs w:val="24"/>
        </w:rPr>
        <w:t xml:space="preserve"> Российской Федерации</w:t>
      </w:r>
      <w:r w:rsidR="00560476">
        <w:rPr>
          <w:rFonts w:ascii="Times New Roman" w:eastAsia="Times New Roman" w:hAnsi="Times New Roman" w:cs="Times New Roman"/>
          <w:bCs/>
          <w:sz w:val="24"/>
          <w:szCs w:val="24"/>
        </w:rPr>
        <w:t>.</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 xml:space="preserve">3.7.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 </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 xml:space="preserve">3.8. </w:t>
      </w:r>
      <w:r w:rsidRPr="0008103B">
        <w:rPr>
          <w:rFonts w:ascii="Times New Roman" w:eastAsia="Times New Roman" w:hAnsi="Times New Roman" w:cs="Times New Roman"/>
          <w:sz w:val="24"/>
          <w:szCs w:val="24"/>
        </w:rPr>
        <w:t xml:space="preserve">На период проведения ремонтных работ подрядчик должен возместить  расходы  </w:t>
      </w:r>
      <w:proofErr w:type="spellStart"/>
      <w:r w:rsidRPr="0008103B">
        <w:rPr>
          <w:rFonts w:ascii="Times New Roman" w:eastAsia="Times New Roman" w:hAnsi="Times New Roman" w:cs="Times New Roman"/>
          <w:sz w:val="24"/>
          <w:szCs w:val="24"/>
        </w:rPr>
        <w:t>ресурсоснабжающей</w:t>
      </w:r>
      <w:proofErr w:type="spellEnd"/>
      <w:r w:rsidRPr="0008103B">
        <w:rPr>
          <w:rFonts w:ascii="Times New Roman" w:eastAsia="Times New Roman" w:hAnsi="Times New Roman" w:cs="Times New Roman"/>
          <w:sz w:val="24"/>
          <w:szCs w:val="24"/>
        </w:rPr>
        <w:t xml:space="preserve"> (управляющей) организации за потребленные коммунальные ресурсы путем заключения договора на получение услуг.</w:t>
      </w:r>
    </w:p>
    <w:p w:rsidR="00DE53D9" w:rsidRDefault="00DE53D9" w:rsidP="000F0B13">
      <w:pPr>
        <w:spacing w:after="0"/>
        <w:jc w:val="both"/>
        <w:rPr>
          <w:rFonts w:ascii="Times New Roman" w:hAnsi="Times New Roman" w:cs="Times New Roman"/>
          <w:b/>
          <w:sz w:val="24"/>
          <w:szCs w:val="24"/>
        </w:rPr>
      </w:pP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____________ Ф.И.О.                                             __________________ Ф.И.О.</w:t>
      </w:r>
    </w:p>
    <w:p w:rsidR="007C084B" w:rsidRPr="007C084B" w:rsidRDefault="007C084B" w:rsidP="007C084B">
      <w:pPr>
        <w:spacing w:after="0"/>
        <w:jc w:val="right"/>
        <w:rPr>
          <w:rFonts w:ascii="Times New Roman" w:hAnsi="Times New Roman" w:cs="Times New Roman"/>
          <w:b/>
          <w:i/>
          <w:sz w:val="24"/>
          <w:szCs w:val="24"/>
        </w:rPr>
      </w:pPr>
    </w:p>
    <w:p w:rsidR="007C084B" w:rsidRDefault="007C084B" w:rsidP="007C084B">
      <w:pPr>
        <w:spacing w:after="0"/>
        <w:jc w:val="right"/>
        <w:rPr>
          <w:rFonts w:ascii="Times New Roman" w:hAnsi="Times New Roman" w:cs="Times New Roman"/>
          <w:b/>
          <w:i/>
          <w:sz w:val="24"/>
          <w:szCs w:val="24"/>
        </w:rPr>
      </w:pPr>
    </w:p>
    <w:p w:rsidR="002753C8" w:rsidRDefault="002753C8"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F07DED" w:rsidRDefault="007C084B" w:rsidP="00F07DED">
      <w:pPr>
        <w:spacing w:after="0"/>
        <w:jc w:val="right"/>
        <w:rPr>
          <w:rFonts w:ascii="Times New Roman" w:hAnsi="Times New Roman" w:cs="Times New Roman"/>
          <w:b/>
          <w:i/>
          <w:sz w:val="24"/>
          <w:szCs w:val="24"/>
        </w:rPr>
      </w:pPr>
      <w:r w:rsidRPr="007C084B">
        <w:rPr>
          <w:rFonts w:ascii="Times New Roman" w:hAnsi="Times New Roman" w:cs="Times New Roman"/>
          <w:b/>
          <w:i/>
          <w:sz w:val="24"/>
          <w:szCs w:val="24"/>
        </w:rPr>
        <w:t xml:space="preserve">к  </w:t>
      </w:r>
      <w:r w:rsidR="00F07DED" w:rsidRPr="002D258B">
        <w:rPr>
          <w:rFonts w:ascii="Times New Roman" w:hAnsi="Times New Roman" w:cs="Times New Roman"/>
          <w:b/>
          <w:i/>
          <w:sz w:val="24"/>
          <w:szCs w:val="24"/>
        </w:rPr>
        <w:t xml:space="preserve">  </w:t>
      </w:r>
      <w:r w:rsidR="00F07DED">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2753C8" w:rsidRPr="0076733C" w:rsidRDefault="002753C8" w:rsidP="002753C8">
      <w:pPr>
        <w:pStyle w:val="a3"/>
        <w:spacing w:after="0"/>
        <w:ind w:left="360" w:hanging="360"/>
        <w:jc w:val="center"/>
        <w:rPr>
          <w:b/>
          <w:szCs w:val="24"/>
        </w:rPr>
      </w:pPr>
      <w:r w:rsidRPr="00D31019">
        <w:rPr>
          <w:rStyle w:val="FontStyle52"/>
        </w:rPr>
        <w:t xml:space="preserve">   </w:t>
      </w:r>
      <w:r w:rsidRPr="0076733C">
        <w:rPr>
          <w:b/>
          <w:szCs w:val="24"/>
        </w:rPr>
        <w:t>Локальн</w:t>
      </w:r>
      <w:r>
        <w:rPr>
          <w:b/>
          <w:szCs w:val="24"/>
        </w:rPr>
        <w:t>ая</w:t>
      </w:r>
      <w:r w:rsidRPr="0076733C">
        <w:rPr>
          <w:b/>
          <w:szCs w:val="24"/>
        </w:rPr>
        <w:t xml:space="preserve"> смет</w:t>
      </w:r>
      <w:r>
        <w:rPr>
          <w:b/>
          <w:szCs w:val="24"/>
        </w:rPr>
        <w:t>а</w:t>
      </w:r>
    </w:p>
    <w:p w:rsidR="002753C8" w:rsidRDefault="002753C8" w:rsidP="002753C8">
      <w:pPr>
        <w:spacing w:after="0"/>
        <w:jc w:val="center"/>
      </w:pPr>
    </w:p>
    <w:p w:rsidR="002753C8" w:rsidRPr="002753C8" w:rsidRDefault="002753C8" w:rsidP="002753C8">
      <w:pPr>
        <w:spacing w:after="0" w:line="240" w:lineRule="auto"/>
        <w:jc w:val="center"/>
        <w:rPr>
          <w:rFonts w:ascii="Times New Roman" w:hAnsi="Times New Roman" w:cs="Times New Roman"/>
          <w:bCs/>
        </w:rPr>
      </w:pPr>
      <w:r w:rsidRPr="002753C8">
        <w:rPr>
          <w:rFonts w:ascii="Times New Roman" w:hAnsi="Times New Roman" w:cs="Times New Roman"/>
          <w:bCs/>
        </w:rPr>
        <w:t>Выполнение работ по капитальному ремонту муниципального помещения</w:t>
      </w:r>
    </w:p>
    <w:p w:rsidR="002753C8" w:rsidRPr="002753C8" w:rsidRDefault="002753C8" w:rsidP="002753C8">
      <w:pPr>
        <w:spacing w:after="0" w:line="240" w:lineRule="auto"/>
        <w:jc w:val="center"/>
        <w:rPr>
          <w:rFonts w:ascii="Times New Roman" w:hAnsi="Times New Roman" w:cs="Times New Roman"/>
          <w:bCs/>
        </w:rPr>
      </w:pPr>
      <w:r w:rsidRPr="002753C8">
        <w:rPr>
          <w:rFonts w:ascii="Times New Roman" w:hAnsi="Times New Roman" w:cs="Times New Roman"/>
          <w:bCs/>
        </w:rPr>
        <w:t xml:space="preserve">№ 23 в многоквартирном доме №6 по ул. </w:t>
      </w:r>
      <w:proofErr w:type="gramStart"/>
      <w:r w:rsidRPr="002753C8">
        <w:rPr>
          <w:rFonts w:ascii="Times New Roman" w:hAnsi="Times New Roman" w:cs="Times New Roman"/>
          <w:bCs/>
        </w:rPr>
        <w:t>Киевской</w:t>
      </w:r>
      <w:proofErr w:type="gramEnd"/>
      <w:r w:rsidRPr="002753C8">
        <w:rPr>
          <w:rFonts w:ascii="Times New Roman" w:hAnsi="Times New Roman" w:cs="Times New Roman"/>
          <w:bCs/>
        </w:rPr>
        <w:t xml:space="preserve">  в городе Рубцовске.</w:t>
      </w:r>
    </w:p>
    <w:p w:rsidR="00FD4B72" w:rsidRPr="00AA6ABA" w:rsidRDefault="00FD4B72" w:rsidP="002753C8">
      <w:pPr>
        <w:pStyle w:val="a3"/>
        <w:spacing w:after="0"/>
        <w:ind w:left="360" w:hanging="360"/>
        <w:jc w:val="center"/>
        <w:rPr>
          <w:szCs w:val="24"/>
        </w:rPr>
      </w:pPr>
    </w:p>
    <w:sectPr w:rsidR="00FD4B72" w:rsidRPr="00AA6ABA" w:rsidSect="00344D3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8103B"/>
    <w:rsid w:val="0009611C"/>
    <w:rsid w:val="000B705A"/>
    <w:rsid w:val="000D0CE6"/>
    <w:rsid w:val="000D72B2"/>
    <w:rsid w:val="000F0B13"/>
    <w:rsid w:val="000F618C"/>
    <w:rsid w:val="00102BC4"/>
    <w:rsid w:val="00123C97"/>
    <w:rsid w:val="00163307"/>
    <w:rsid w:val="0019246A"/>
    <w:rsid w:val="00192F75"/>
    <w:rsid w:val="001F1666"/>
    <w:rsid w:val="002753C8"/>
    <w:rsid w:val="002D697D"/>
    <w:rsid w:val="002E2038"/>
    <w:rsid w:val="002E2255"/>
    <w:rsid w:val="00304E8C"/>
    <w:rsid w:val="00344D3F"/>
    <w:rsid w:val="003453F5"/>
    <w:rsid w:val="0035078F"/>
    <w:rsid w:val="003A3FFC"/>
    <w:rsid w:val="003B46E3"/>
    <w:rsid w:val="003C7144"/>
    <w:rsid w:val="003D0D0F"/>
    <w:rsid w:val="003D4011"/>
    <w:rsid w:val="003D4982"/>
    <w:rsid w:val="0040766B"/>
    <w:rsid w:val="00435179"/>
    <w:rsid w:val="00444D2D"/>
    <w:rsid w:val="00495CDF"/>
    <w:rsid w:val="004B71E0"/>
    <w:rsid w:val="004C18F8"/>
    <w:rsid w:val="0050403F"/>
    <w:rsid w:val="00516F23"/>
    <w:rsid w:val="00560476"/>
    <w:rsid w:val="005920D8"/>
    <w:rsid w:val="005D045E"/>
    <w:rsid w:val="00626175"/>
    <w:rsid w:val="006746D0"/>
    <w:rsid w:val="006A74E2"/>
    <w:rsid w:val="00760DF8"/>
    <w:rsid w:val="00767B80"/>
    <w:rsid w:val="007A3A05"/>
    <w:rsid w:val="007C084B"/>
    <w:rsid w:val="007E3218"/>
    <w:rsid w:val="007F4FF0"/>
    <w:rsid w:val="008231DA"/>
    <w:rsid w:val="008379E5"/>
    <w:rsid w:val="00872929"/>
    <w:rsid w:val="008A3DE7"/>
    <w:rsid w:val="009205E6"/>
    <w:rsid w:val="00932433"/>
    <w:rsid w:val="00961331"/>
    <w:rsid w:val="009E5969"/>
    <w:rsid w:val="009F15DE"/>
    <w:rsid w:val="00A56D4D"/>
    <w:rsid w:val="00A578DE"/>
    <w:rsid w:val="00A943C5"/>
    <w:rsid w:val="00AA236E"/>
    <w:rsid w:val="00AA6ABA"/>
    <w:rsid w:val="00AD75F3"/>
    <w:rsid w:val="00B223CE"/>
    <w:rsid w:val="00B33FC7"/>
    <w:rsid w:val="00B47BD5"/>
    <w:rsid w:val="00B60036"/>
    <w:rsid w:val="00B66CE1"/>
    <w:rsid w:val="00B9281D"/>
    <w:rsid w:val="00C467C1"/>
    <w:rsid w:val="00C520E4"/>
    <w:rsid w:val="00C84347"/>
    <w:rsid w:val="00C854D1"/>
    <w:rsid w:val="00CB41B4"/>
    <w:rsid w:val="00CD195D"/>
    <w:rsid w:val="00D334DE"/>
    <w:rsid w:val="00D701B0"/>
    <w:rsid w:val="00DE53D9"/>
    <w:rsid w:val="00EA28BE"/>
    <w:rsid w:val="00EB66CE"/>
    <w:rsid w:val="00EC4578"/>
    <w:rsid w:val="00ED2E65"/>
    <w:rsid w:val="00EE2979"/>
    <w:rsid w:val="00F07DED"/>
    <w:rsid w:val="00F12C4C"/>
    <w:rsid w:val="00F60E1F"/>
    <w:rsid w:val="00F94C08"/>
    <w:rsid w:val="00FD0930"/>
    <w:rsid w:val="00FD4B72"/>
    <w:rsid w:val="00FF3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rsid w:val="00F07DE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14</Pages>
  <Words>6112</Words>
  <Characters>34843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71</cp:revision>
  <cp:lastPrinted>2018-04-11T02:33:00Z</cp:lastPrinted>
  <dcterms:created xsi:type="dcterms:W3CDTF">2016-12-16T02:55:00Z</dcterms:created>
  <dcterms:modified xsi:type="dcterms:W3CDTF">2018-04-12T09:02:00Z</dcterms:modified>
</cp:coreProperties>
</file>